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9 — Judgment and Decision Objects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Source-aligned rewrite; architecture audit passed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Make tradeoffs explicit and reconstructable when evidence and constitutional values do not yield one perfect answer.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9, 26, 31, 34–35, 50, 55–58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1. Purpose</w:t>
      </w:r>
    </w:p>
    <w:p>
      <w:r>
        <w:t>Make tradeoffs explicit and reconstructable when evidence and constitutional values do not yield one perfect answer.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 Objects, alternatives, dispositions and review history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Judgment Engine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Contextual value and tradeoff analysis; no single permanent optimization score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Outcome Reviewer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Predicted versus observed outcomes and attribution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Escalation Coordinator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 thresholds and pending judgment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 Object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Question, alternatives, evidence, constraints, assumptions, stakeholders, confidence, recommendation and result.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Tradeoff Analysis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Gain, loss, affected parties, opportunity cost, reversibility, waiting value and time horizons.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Value Impact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integrity, safety, Owner intent, privacy, honesty, trust, recovery, evidence and stewardship.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 Review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Expected versus actual outcome, attribution, lessons and follow-up.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Frame the decision and distinguish facts, assumptions, preferences and unknowns.</w:t>
      </w:r>
    </w:p>
    <w:p>
      <w:pPr>
        <w:pStyle w:val="ListNumber"/>
      </w:pPr>
      <w:r>
        <w:t>Generate serious alternatives, including waiting, verifying and reversible experiments.</w:t>
      </w:r>
    </w:p>
    <w:p>
      <w:pPr>
        <w:pStyle w:val="ListNumber"/>
      </w:pPr>
      <w:r>
        <w:t>Evaluate each alternative across affected parties and immediate through constitutional horizons.</w:t>
      </w:r>
    </w:p>
    <w:p>
      <w:pPr>
        <w:pStyle w:val="ListNumber"/>
      </w:pPr>
      <w:r>
        <w:t>Prefer reversible decisions under uncertainty when practical.</w:t>
      </w:r>
    </w:p>
    <w:p>
      <w:pPr>
        <w:pStyle w:val="ListNumber"/>
      </w:pPr>
      <w:r>
        <w:t>Escalate value-laden, protected or irreversible choices beyond delegated authority.</w:t>
      </w:r>
    </w:p>
    <w:p>
      <w:pPr>
        <w:pStyle w:val="ListNumber"/>
      </w:pPr>
      <w:r>
        <w:t>Record the decision, rationale, dissent, opportunity cost and subsequent outcome review.</w:t>
      </w:r>
    </w:p>
    <w:p>
      <w:pPr>
        <w:pStyle w:val="Heading2"/>
      </w:pPr>
      <w:r>
        <w:t>5. Interfaces and Contracts</w:t>
      </w:r>
    </w:p>
    <w:p>
      <w:r>
        <w:t>All commands, queries and events are typed, versioned, authenticated and correlated. Commands request mutation from the authoritative owner; queries declare consistency and privacy scope; immutable events record completed facts with identity, causation, authorization, provenance and integrity metadata.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Insufficient evidence: ask, verify, defer or decline according to impact if wrong.</w:t>
      </w:r>
    </w:p>
    <w:p>
      <w:pPr>
        <w:pStyle w:val="ListBullet"/>
      </w:pPr>
      <w:r>
        <w:t>Conflicting values: explain the tradeoff and request Owner judgment when delegation is insufficient.</w:t>
      </w:r>
    </w:p>
    <w:p>
      <w:pPr>
        <w:pStyle w:val="ListBullet"/>
      </w:pPr>
      <w:r>
        <w:t>Outcome differs from forecast: correct the record and learn without rewriting the original rationale.</w:t>
      </w:r>
    </w:p>
    <w:p>
      <w:pPr>
        <w:pStyle w:val="ListBullet"/>
      </w:pPr>
      <w:r>
        <w:t>Pressure to optimize one metric: retain multi-value analysis and reject hidden value substitution.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Judgment balances evidence, constitutional values and Owner intent—not one objective.</w:t>
      </w:r>
    </w:p>
    <w:p>
      <w:pPr>
        <w:pStyle w:val="ListBullet"/>
      </w:pPr>
      <w:r>
        <w:t>Good judgment is evaluated by reasoning quality as well as outcome.</w:t>
      </w:r>
    </w:p>
    <w:p>
      <w:pPr>
        <w:pStyle w:val="ListBullet"/>
      </w:pPr>
      <w:r>
        <w:t>Moral uncertainty is disclosed rather than presented as technical certainty.</w:t>
      </w:r>
    </w:p>
    <w:p>
      <w:pPr>
        <w:pStyle w:val="ListBullet"/>
      </w:pPr>
      <w:r>
        <w:t>Every consequential decision remains attributable, reviewable and auditable.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authority, reinterpret Owner intent, erase dissent, or treat a derived projection as authoritative state.</w:t>
      </w:r>
    </w:p>
    <w:p>
      <w:pPr>
        <w:pStyle w:val="ListBullet"/>
      </w:pPr>
      <w:r>
        <w:t>No degraded dependency may silently change policy, identity, trust, authentication, verification or evidence requirements.</w:t>
      </w:r>
    </w:p>
    <w:p>
      <w:pPr>
        <w:pStyle w:val="ListBullet"/>
      </w:pPr>
      <w:r>
        <w:t>No provider, model, node, Presence, secret, relationship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correlation, identity, policy/authority context, state versions, decisions, limitations, failures, recovery and outcomes. Verification is risk-scaled and produces durable evidence. Status reporting is derived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directly implements Decisions 9, 26, 31, 34–35, 50, 55–58. The v0.2 rewrite restores the source-specific objects, workflows and guarantees missing from v0.1. Final disposition is recorded in the separate source-alignment and constitutional-audit reports.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