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 Judgment and Decision Objects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9, 26, 31, 34–35, 50, 55–57</w:t>
            </w:r>
          </w:p>
        </w:tc>
      </w:tr>
    </w:tbl>
    <w:p>
      <w:pPr>
        <w:pStyle w:val="Heading2"/>
      </w:pPr>
      <w:r>
        <w:t>1. Purpose</w:t>
      </w:r>
    </w:p>
    <w:p>
      <w:r>
        <w:t>Decision Objects make consequential judgment reconstructable across evidence, alternatives, values, uncertainty, and results.</w:t>
      </w:r>
    </w:p>
    <w:p>
      <w:pPr>
        <w:pStyle w:val="Heading2"/>
      </w:pPr>
      <w:r>
        <w:t>2. Architecture</w:t>
      </w:r>
    </w:p>
    <w:p>
      <w:pPr>
        <w:pStyle w:val="ListBullet"/>
        <w:spacing w:after="60"/>
      </w:pPr>
      <w:r>
        <w:t>Decisions capture question, options, constraints, assumptions, risks, affected parties, and horizons.</w:t>
      </w:r>
    </w:p>
    <w:p>
      <w:pPr>
        <w:pStyle w:val="ListBullet"/>
        <w:spacing w:after="60"/>
      </w:pPr>
      <w:r>
        <w:t>Tradeoff analysis records gain, loss, reversibility, opportunity cost, and verification options.</w:t>
      </w:r>
    </w:p>
    <w:p>
      <w:pPr>
        <w:pStyle w:val="ListBullet"/>
        <w:spacing w:after="60"/>
      </w:pPr>
      <w:r>
        <w:t>Value-laden or protected decisions escalate rather than masquerade as objective optimization.</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Create decision</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Attach evidence</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Request review</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Record outcome</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Judgment balances constitutional values, evidence, and Owner intent.</w:t>
      </w:r>
    </w:p>
    <w:p>
      <w:pPr>
        <w:pStyle w:val="ListBullet"/>
        <w:spacing w:after="60"/>
      </w:pPr>
      <w:r>
        <w:t>Under uncertainty, reversible paths are preferred where practical.</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9, 26, 31, 34–35, 50, 55–57.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