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Chapter 10 — Knowledge Architecture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30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Field</w:t>
            </w:r>
          </w:p>
        </w:tc>
        <w:tc>
          <w:tcPr>
            <w:tcW w:type="dxa" w:w="705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Status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Revised after whole-book constitutional and cross-chapter audit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Version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0.3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Scope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Maintain evolving, relationship-rich understanding derived from immutable experience without confusing knowledge with historical truth.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Constitutional basis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Decisions 4, 11, 24, 26, 30, 34, 40, 42, 53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Owner review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No unresolved Owner decision after whole-book audit</w:t>
            </w:r>
          </w:p>
        </w:tc>
      </w:tr>
    </w:tbl>
    <w:p>
      <w:pPr>
        <w:pStyle w:val="Heading2"/>
      </w:pPr>
      <w:r>
        <w:t>1. Purpose</w:t>
      </w:r>
    </w:p>
    <w:p>
      <w:r>
        <w:t>Maintain evolving, relationship-rich understanding derived from immutable experience without confusing knowledge with historical truth.</w:t>
      </w:r>
    </w:p>
    <w:p>
      <w:pPr>
        <w:pStyle w:val="Heading2"/>
      </w:pPr>
      <w:r>
        <w:t>2. Authoritative Responsibilities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8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64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Authoritative responsibility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Knowledge Service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Knowledge Objects, relationships, versions, confidence and stability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Knowledge Graph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Typed entities and explicit relationships across HAL, people, environment, intent and capability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Retrieval Service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Contextual ranking and provenance-preserving retrieval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Contradiction Manager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Competing claims, temporal validity and evidence reconciliation</w:t>
            </w:r>
          </w:p>
        </w:tc>
      </w:tr>
    </w:tbl>
    <w:p>
      <w:pPr>
        <w:pStyle w:val="Heading2"/>
      </w:pPr>
      <w:r>
        <w:t>3. Core State and Records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8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Object</w:t>
            </w:r>
          </w:p>
        </w:tc>
        <w:tc>
          <w:tcPr>
            <w:tcW w:type="dxa" w:w="64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Required content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Knowledge Object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Claim, domain, confidence, stability, relevance, temporal validity, provenance and version.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Relationship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Typed connection, direction, confidence, evidence and effective period.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Contradiction Set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Competing claims, supporting evidence, materiality and resolution state.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Retrieval Result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Knowledge, raw experience references, ranking factors, limitations and freshness.</w:t>
            </w:r>
          </w:p>
        </w:tc>
      </w:tr>
    </w:tbl>
    <w:p>
      <w:pPr>
        <w:pStyle w:val="Heading2"/>
      </w:pPr>
      <w:r>
        <w:t>4. Runtime Workflow</w:t>
      </w:r>
    </w:p>
    <w:p>
      <w:pPr>
        <w:pStyle w:val="ListNumber"/>
      </w:pPr>
      <w:r>
        <w:t>Derive candidate knowledge from Experience Ledger evidence; never promote a single utterance automatically.</w:t>
      </w:r>
    </w:p>
    <w:p>
      <w:pPr>
        <w:pStyle w:val="ListNumber"/>
      </w:pPr>
      <w:r>
        <w:t>Link candidates to entities, domains and temporal context; evaluate trust and contradiction.</w:t>
      </w:r>
    </w:p>
    <w:p>
      <w:pPr>
        <w:pStyle w:val="ListNumber"/>
      </w:pPr>
      <w:r>
        <w:t>Promote knowledge through reflection, repetition, usefulness, verification or explicit Owner instruction.</w:t>
      </w:r>
    </w:p>
    <w:p>
      <w:pPr>
        <w:pStyle w:val="ListNumber"/>
      </w:pPr>
      <w:r>
        <w:t>Compress recurring experiences into evidence-linked patterns or abstractions without replacing their raw sources.</w:t>
      </w:r>
    </w:p>
    <w:p>
      <w:pPr>
        <w:pStyle w:val="ListNumber"/>
      </w:pPr>
      <w:r>
        <w:t>Version changed understanding while retaining prior validity and supporting evidence.</w:t>
      </w:r>
    </w:p>
    <w:p>
      <w:pPr>
        <w:pStyle w:val="ListNumber"/>
      </w:pPr>
      <w:r>
        <w:t>Rank retrieval using task context, relationship, recency, importance, confidence, trust, stability and Owner priority.</w:t>
      </w:r>
    </w:p>
    <w:p>
      <w:pPr>
        <w:pStyle w:val="ListNumber"/>
      </w:pPr>
      <w:r>
        <w:t>Return to raw experience when summaries or abstractions are insufficient.</w:t>
      </w:r>
    </w:p>
    <w:p>
      <w:pPr>
        <w:pStyle w:val="Heading2"/>
      </w:pPr>
      <w:r>
        <w:t>5. Interfaces and Contracts</w:t>
      </w:r>
    </w:p>
    <w:p>
      <w:r>
        <w:t>All commands, queries and events are typed, versioned, authenticated and correlated. Commands request mutation from the authoritative owner; queries declare consistency and privacy scope; immutable events record completed facts with identity, causation, authorization, provenance and integrity metadata.</w:t>
      </w:r>
    </w:p>
    <w:p>
      <w:pPr>
        <w:pStyle w:val="Heading2"/>
      </w:pPr>
      <w:r>
        <w:t>6. Failure and Recovery</w:t>
      </w:r>
    </w:p>
    <w:p>
      <w:pPr>
        <w:pStyle w:val="ListBullet"/>
      </w:pPr>
      <w:r>
        <w:t>Conflicting evidence: preserve alternatives and request or seek more evidence.</w:t>
      </w:r>
    </w:p>
    <w:p>
      <w:pPr>
        <w:pStyle w:val="ListBullet"/>
      </w:pPr>
      <w:r>
        <w:t>Stale knowledge: reduce current relevance through temporal policy; do not delete history.</w:t>
      </w:r>
    </w:p>
    <w:p>
      <w:pPr>
        <w:pStyle w:val="ListBullet"/>
      </w:pPr>
      <w:r>
        <w:t>Broken index or embedding: rebuild from authoritative objects and ledger references.</w:t>
      </w:r>
    </w:p>
    <w:p>
      <w:pPr>
        <w:pStyle w:val="ListBullet"/>
      </w:pPr>
      <w:r>
        <w:t>Uncertain identity or privacy scope: reduce disclosure even if relevant knowledge exists.</w:t>
      </w:r>
    </w:p>
    <w:p>
      <w:pPr>
        <w:pStyle w:val="Heading2"/>
      </w:pPr>
      <w:r>
        <w:t>7. Constitutional Guarantees</w:t>
      </w:r>
    </w:p>
    <w:p>
      <w:pPr>
        <w:pStyle w:val="ListBullet"/>
      </w:pPr>
      <w:r>
        <w:t>The Experience Ledger is historical authority; the Knowledge Graph is derived understanding.</w:t>
      </w:r>
    </w:p>
    <w:p>
      <w:pPr>
        <w:pStyle w:val="ListBullet"/>
      </w:pPr>
      <w:r>
        <w:t>Knowledge changes by version and evidence, not silent overwrite.</w:t>
      </w:r>
    </w:p>
    <w:p>
      <w:pPr>
        <w:pStyle w:val="ListBullet"/>
      </w:pPr>
      <w:r>
        <w:t>Every durable knowledge claim is explainable through provenance.</w:t>
      </w:r>
    </w:p>
    <w:p>
      <w:pPr>
        <w:pStyle w:val="ListBullet"/>
      </w:pPr>
      <w:r>
        <w:t>High-stability knowledge resists revision without proportionate evidence.</w:t>
      </w:r>
    </w:p>
    <w:p>
      <w:pPr>
        <w:pStyle w:val="Heading2"/>
      </w:pPr>
      <w:r>
        <w:t>8. Prohibited Behaviors</w:t>
      </w:r>
    </w:p>
    <w:p>
      <w:pPr>
        <w:pStyle w:val="ListBullet"/>
      </w:pPr>
      <w:r>
        <w:t>No component may silently broaden authority, reinterpret Owner intent, erase dissent, or treat a derived projection as authoritative state.</w:t>
      </w:r>
    </w:p>
    <w:p>
      <w:pPr>
        <w:pStyle w:val="ListBullet"/>
      </w:pPr>
      <w:r>
        <w:t>No degraded dependency may silently change policy, identity, trust, authentication, verification or evidence requirements.</w:t>
      </w:r>
    </w:p>
    <w:p>
      <w:pPr>
        <w:pStyle w:val="ListBullet"/>
      </w:pPr>
      <w:r>
        <w:t>No provider, model, node, Presence, secret, relationship or network location receives constitutional authority by implication.</w:t>
      </w:r>
    </w:p>
    <w:p>
      <w:pPr>
        <w:pStyle w:val="Heading2"/>
      </w:pPr>
      <w:r>
        <w:t>9. Observability and Verification</w:t>
      </w:r>
    </w:p>
    <w:p>
      <w:r>
        <w:t>The subsystem records correlation, identity, policy/authority context, state versions, decisions, limitations, failures, recovery and outcomes. Verification is risk-scaled and produces durable evidence. Status reporting is derived from governed state rather than model assertion.</w:t>
      </w:r>
    </w:p>
    <w:p>
      <w:pPr>
        <w:pStyle w:val="Heading2"/>
      </w:pPr>
      <w:r>
        <w:t>10. Source Alignment and Review</w:t>
      </w:r>
    </w:p>
    <w:p>
      <w:r>
        <w:t>This chapter directly implements Decisions 4, 11, 24, 26, 30, 34, 40, 42, 53. The v0.2 rewrite restores the source-specific objects, workflows and guarantees missing from v0.1. Final disposition is recorded in the separate source-alignment and constitutional-audit reports.</w:t>
      </w:r>
    </w:p>
    <w:p>
      <w:pPr>
        <w:pStyle w:val="Heading2"/>
        <w:keepNext/>
      </w:pPr>
      <w:r>
        <w:t>Whole-Book Audit Resolution</w:t>
      </w:r>
    </w:p>
    <w:p>
      <w:pPr>
        <w:keepNext/>
      </w:pPr>
      <w:r>
        <w:t>The following requirements supersede any ambiguous earlier wording in this chapter and are incorporated into this edition:</w:t>
      </w:r>
    </w:p>
    <w:p>
      <w:pPr>
        <w:pStyle w:val="ListBullet"/>
        <w:keepLines/>
      </w:pPr>
      <w:r>
        <w:t>The Knowledge Service is the semantic owner of Knowledge Objects and relationships.</w:t>
      </w:r>
    </w:p>
    <w:p>
      <w:pPr>
        <w:pStyle w:val="ListBullet"/>
        <w:keepLines/>
      </w:pPr>
      <w:r>
        <w:t>Databases, replicas, indexes, embeddings, caches, and observability projections are physical or derived custodians and cannot become knowledge authority.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573"/>
        <w:sz w:val="16"/>
      </w:rPr>
      <w:t xml:space="preserve">Book II • Architecture Specification • </w:t>
    </w:r>
    <w:r>
      <w:t xml:space="preserve">Page </w:t>
    </w:r>
    <w:r/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7" w:space="6" w:color="C8D4E3"/>
      </w:pBdr>
    </w:pPr>
    <w:r>
      <w:rPr>
        <w:color w:val="5B6573"/>
        <w:sz w:val="16"/>
      </w:rPr>
      <w:t>HAL — BOOK II: CHAPTER 10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26344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 w:line="264" w:lineRule="auto"/>
      <w:ind w:left="720" w:hanging="36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Revised after full Book II constitutional and cross-chapter audit.</dc:description>
  <cp:lastModifiedBy/>
  <cp:revision>1</cp:revision>
  <dcterms:created xsi:type="dcterms:W3CDTF">2013-12-23T23:15:00Z</dcterms:created>
  <dcterms:modified xsi:type="dcterms:W3CDTF">2013-12-23T23:15:00Z</dcterms:modified>
  <cp:category/>
  <cp:version>0.3</cp:version>
</cp:coreProperties>
</file>