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10 — Knowledge Architecture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Field</w:t>
            </w:r>
          </w:p>
        </w:tc>
        <w:tc>
          <w:tcPr>
            <w:tcW w:type="dxa" w:w="4824"/>
            <w:shd w:fill="E8EEF5"/>
            <w:tcMar>
              <w:top w:w="80" w:type="dxa"/>
              <w:start w:w="120" w:type="dxa"/>
              <w:bottom w:w="80" w:type="dxa"/>
              <w:end w:w="120" w:type="dxa"/>
            </w:tcMar>
          </w:tcPr>
          <w:p>
            <w:r>
              <w:rPr>
                <w:b/>
              </w:rPr>
              <w:t>Value</w:t>
            </w:r>
          </w:p>
        </w:tc>
      </w:tr>
      <w:tr>
        <w:tc>
          <w:tcPr>
            <w:tcW w:type="dxa" w:w="4824"/>
            <w:vAlign w:val="center"/>
            <w:tcMar>
              <w:top w:w="80" w:type="dxa"/>
              <w:start w:w="120" w:type="dxa"/>
              <w:bottom w:w="80" w:type="dxa"/>
              <w:end w:w="120" w:type="dxa"/>
            </w:tcMar>
          </w:tcPr>
          <w:p>
            <w:r>
              <w:t>Status</w:t>
            </w:r>
          </w:p>
        </w:tc>
        <w:tc>
          <w:tcPr>
            <w:tcW w:type="dxa" w:w="4824"/>
            <w:vAlign w:val="center"/>
            <w:tcMar>
              <w:top w:w="80" w:type="dxa"/>
              <w:start w:w="120" w:type="dxa"/>
              <w:bottom w:w="80" w:type="dxa"/>
              <w:end w:w="120" w:type="dxa"/>
            </w:tcMar>
          </w:tcPr>
          <w:p>
            <w:r>
              <w:t>Architect draft complete; constitutional and engineering review complete</w:t>
            </w:r>
          </w:p>
        </w:tc>
      </w:tr>
      <w:tr>
        <w:tc>
          <w:tcPr>
            <w:tcW w:type="dxa" w:w="4824"/>
            <w:vAlign w:val="center"/>
            <w:tcMar>
              <w:top w:w="80" w:type="dxa"/>
              <w:start w:w="120" w:type="dxa"/>
              <w:bottom w:w="80" w:type="dxa"/>
              <w:end w:w="120" w:type="dxa"/>
            </w:tcMar>
          </w:tcPr>
          <w:p>
            <w:r>
              <w:t>Version</w:t>
            </w:r>
          </w:p>
        </w:tc>
        <w:tc>
          <w:tcPr>
            <w:tcW w:type="dxa" w:w="4824"/>
            <w:vAlign w:val="center"/>
            <w:tcMar>
              <w:top w:w="80" w:type="dxa"/>
              <w:start w:w="120" w:type="dxa"/>
              <w:bottom w:w="80" w:type="dxa"/>
              <w:end w:w="120" w:type="dxa"/>
            </w:tcMar>
          </w:tcPr>
          <w:p>
            <w:r>
              <w:t>0.1</w:t>
            </w:r>
          </w:p>
        </w:tc>
      </w:tr>
      <w:tr>
        <w:tc>
          <w:tcPr>
            <w:tcW w:type="dxa" w:w="4824"/>
            <w:vAlign w:val="center"/>
            <w:tcMar>
              <w:top w:w="80" w:type="dxa"/>
              <w:start w:w="120" w:type="dxa"/>
              <w:bottom w:w="80" w:type="dxa"/>
              <w:end w:w="120" w:type="dxa"/>
            </w:tcMar>
          </w:tcPr>
          <w:p>
            <w:r>
              <w:t>Owner review</w:t>
            </w:r>
          </w:p>
        </w:tc>
        <w:tc>
          <w:tcPr>
            <w:tcW w:type="dxa" w:w="4824"/>
            <w:vAlign w:val="center"/>
            <w:tcMar>
              <w:top w:w="80" w:type="dxa"/>
              <w:start w:w="120" w:type="dxa"/>
              <w:bottom w:w="80" w:type="dxa"/>
              <w:end w:w="120" w:type="dxa"/>
            </w:tcMar>
          </w:tcPr>
          <w:p>
            <w:r>
              <w:t>None required</w:t>
            </w:r>
          </w:p>
        </w:tc>
      </w:tr>
      <w:tr>
        <w:tc>
          <w:tcPr>
            <w:tcW w:type="dxa" w:w="4824"/>
            <w:vAlign w:val="center"/>
            <w:tcMar>
              <w:top w:w="80" w:type="dxa"/>
              <w:start w:w="120" w:type="dxa"/>
              <w:bottom w:w="80" w:type="dxa"/>
              <w:end w:w="120" w:type="dxa"/>
            </w:tcMar>
          </w:tcPr>
          <w:p>
            <w:r>
              <w:t>Constitutional basis</w:t>
            </w:r>
          </w:p>
        </w:tc>
        <w:tc>
          <w:tcPr>
            <w:tcW w:type="dxa" w:w="4824"/>
            <w:vAlign w:val="center"/>
            <w:tcMar>
              <w:top w:w="80" w:type="dxa"/>
              <w:start w:w="120" w:type="dxa"/>
              <w:bottom w:w="80" w:type="dxa"/>
              <w:end w:w="120" w:type="dxa"/>
            </w:tcMar>
          </w:tcPr>
          <w:p>
            <w:r>
              <w:t>4–5, 11, 24, 26, 30, 34, 40, 42, 53</w:t>
            </w:r>
          </w:p>
        </w:tc>
      </w:tr>
    </w:tbl>
    <w:p>
      <w:pPr>
        <w:pStyle w:val="Heading2"/>
      </w:pPr>
      <w:r>
        <w:t>1. Purpose</w:t>
      </w:r>
    </w:p>
    <w:p>
      <w:r>
        <w:t>Knowledge is a governed graph of derived, versioned understanding grounded in recoverable evidence and experience.</w:t>
      </w:r>
    </w:p>
    <w:p>
      <w:pPr>
        <w:pStyle w:val="Heading2"/>
      </w:pPr>
      <w:r>
        <w:t>2. Architecture</w:t>
      </w:r>
    </w:p>
    <w:p>
      <w:pPr>
        <w:pStyle w:val="ListBullet"/>
        <w:spacing w:after="60"/>
      </w:pPr>
      <w:r>
        <w:t>Knowledge objects carry provenance, confidence, stability, relevance, relationships, and revision history.</w:t>
      </w:r>
    </w:p>
    <w:p>
      <w:pPr>
        <w:pStyle w:val="ListBullet"/>
        <w:spacing w:after="60"/>
      </w:pPr>
      <w:r>
        <w:t>Contradictions coexist as evidence until resolved or superseded through explicit evaluation.</w:t>
      </w:r>
    </w:p>
    <w:p>
      <w:pPr>
        <w:pStyle w:val="ListBullet"/>
        <w:spacing w:after="60"/>
      </w:pPr>
      <w:r>
        <w:t>Derived indexes and embeddings are replaceable projections, not truth owners.</w:t>
      </w:r>
    </w:p>
    <w:p>
      <w:pPr>
        <w:pStyle w:val="Heading2"/>
      </w:pPr>
      <w:r>
        <w:t>3. Interfaces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Interface</w:t>
            </w:r>
          </w:p>
        </w:tc>
        <w:tc>
          <w:tcPr>
            <w:tcW w:type="dxa" w:w="4824"/>
            <w:shd w:fill="E8EEF5"/>
            <w:tcMar>
              <w:top w:w="80" w:type="dxa"/>
              <w:start w:w="120" w:type="dxa"/>
              <w:bottom w:w="80" w:type="dxa"/>
              <w:end w:w="120" w:type="dxa"/>
            </w:tcMar>
          </w:tcPr>
          <w:p>
            <w:r>
              <w:rPr>
                <w:b/>
              </w:rPr>
              <w:t>Contract</w:t>
            </w:r>
          </w:p>
        </w:tc>
      </w:tr>
      <w:tr>
        <w:tc>
          <w:tcPr>
            <w:tcW w:type="dxa" w:w="4824"/>
            <w:vAlign w:val="center"/>
            <w:tcMar>
              <w:top w:w="80" w:type="dxa"/>
              <w:start w:w="120" w:type="dxa"/>
              <w:bottom w:w="80" w:type="dxa"/>
              <w:end w:w="120" w:type="dxa"/>
            </w:tcMar>
          </w:tcPr>
          <w:p>
            <w:r>
              <w:t>Knowledge query</w:t>
            </w:r>
          </w:p>
        </w:tc>
        <w:tc>
          <w:tcPr>
            <w:tcW w:type="dxa" w:w="4824"/>
            <w:vAlign w:val="center"/>
            <w:tcMar>
              <w:top w:w="80" w:type="dxa"/>
              <w:start w:w="120" w:type="dxa"/>
              <w:bottom w:w="80" w:type="dxa"/>
              <w:end w:w="120" w:type="dxa"/>
            </w:tcMar>
          </w:tcPr>
          <w:p>
            <w:r>
              <w:t>Typed, authenticated, authorized, auditable, and versioned.</w:t>
            </w:r>
          </w:p>
        </w:tc>
      </w:tr>
      <w:tr>
        <w:tc>
          <w:tcPr>
            <w:tcW w:type="dxa" w:w="4824"/>
            <w:vAlign w:val="center"/>
            <w:tcMar>
              <w:top w:w="80" w:type="dxa"/>
              <w:start w:w="120" w:type="dxa"/>
              <w:bottom w:w="80" w:type="dxa"/>
              <w:end w:w="120" w:type="dxa"/>
            </w:tcMar>
          </w:tcPr>
          <w:p>
            <w:r>
              <w:t>Evidence link</w:t>
            </w:r>
          </w:p>
        </w:tc>
        <w:tc>
          <w:tcPr>
            <w:tcW w:type="dxa" w:w="4824"/>
            <w:vAlign w:val="center"/>
            <w:tcMar>
              <w:top w:w="80" w:type="dxa"/>
              <w:start w:w="120" w:type="dxa"/>
              <w:bottom w:w="80" w:type="dxa"/>
              <w:end w:w="120" w:type="dxa"/>
            </w:tcMar>
          </w:tcPr>
          <w:p>
            <w:r>
              <w:t>Typed, authenticated, authorized, auditable, and versioned.</w:t>
            </w:r>
          </w:p>
        </w:tc>
      </w:tr>
      <w:tr>
        <w:tc>
          <w:tcPr>
            <w:tcW w:type="dxa" w:w="4824"/>
            <w:vAlign w:val="center"/>
            <w:tcMar>
              <w:top w:w="80" w:type="dxa"/>
              <w:start w:w="120" w:type="dxa"/>
              <w:bottom w:w="80" w:type="dxa"/>
              <w:end w:w="120" w:type="dxa"/>
            </w:tcMar>
          </w:tcPr>
          <w:p>
            <w:r>
              <w:t>Version knowledge</w:t>
            </w:r>
          </w:p>
        </w:tc>
        <w:tc>
          <w:tcPr>
            <w:tcW w:type="dxa" w:w="4824"/>
            <w:vAlign w:val="center"/>
            <w:tcMar>
              <w:top w:w="80" w:type="dxa"/>
              <w:start w:w="120" w:type="dxa"/>
              <w:bottom w:w="80" w:type="dxa"/>
              <w:end w:w="120" w:type="dxa"/>
            </w:tcMar>
          </w:tcPr>
          <w:p>
            <w:r>
              <w:t>Typed, authenticated, authorized, auditable, and versioned.</w:t>
            </w:r>
          </w:p>
        </w:tc>
      </w:tr>
      <w:tr>
        <w:tc>
          <w:tcPr>
            <w:tcW w:type="dxa" w:w="4824"/>
            <w:vAlign w:val="center"/>
            <w:tcMar>
              <w:top w:w="80" w:type="dxa"/>
              <w:start w:w="120" w:type="dxa"/>
              <w:bottom w:w="80" w:type="dxa"/>
              <w:end w:w="120" w:type="dxa"/>
            </w:tcMar>
          </w:tcPr>
          <w:p>
            <w:r>
              <w:t>Explain provenance</w:t>
            </w:r>
          </w:p>
        </w:tc>
        <w:tc>
          <w:tcPr>
            <w:tcW w:type="dxa" w:w="4824"/>
            <w:vAlign w:val="center"/>
            <w:tcMar>
              <w:top w:w="80" w:type="dxa"/>
              <w:start w:w="120" w:type="dxa"/>
              <w:bottom w:w="80" w:type="dxa"/>
              <w:end w:w="120" w:type="dxa"/>
            </w:tcMar>
          </w:tcPr>
          <w:p>
            <w:r>
              <w:t>Typed, authenticated, authorized, auditable, and versioned.</w:t>
            </w:r>
          </w:p>
        </w:tc>
      </w:tr>
    </w:tbl>
    <w:p>
      <w:pPr>
        <w:pStyle w:val="Heading2"/>
      </w:pPr>
      <w:r>
        <w:t>4. Guarantees</w:t>
      </w:r>
    </w:p>
    <w:p>
      <w:pPr>
        <w:pStyle w:val="ListBullet"/>
        <w:spacing w:after="60"/>
      </w:pPr>
      <w:r>
        <w:t>Knowledge evolves; experience and provenance remain recoverable.</w:t>
      </w:r>
    </w:p>
    <w:p>
      <w:pPr>
        <w:pStyle w:val="ListBullet"/>
        <w:spacing w:after="60"/>
      </w:pPr>
      <w:r>
        <w:t>No knowledge projection silently overwrites historical evidence.</w:t>
      </w:r>
    </w:p>
    <w:p>
      <w:pPr>
        <w:pStyle w:val="Heading2"/>
      </w:pPr>
      <w:r>
        <w:t>5. Failure and Recovery</w:t>
      </w:r>
    </w:p>
    <w:p>
      <w:r>
        <w:t>When required evidence, policy, identity, authority, or a dependency is unavailable, this subsystem preserves its state and evidence, discloses any degraded capability, and defers, restricts, or escalates according to its declared failure behavior. It never silently broadens authority or changes constitutional rules.</w:t>
      </w:r>
    </w:p>
    <w:p>
      <w:pPr>
        <w:pStyle w:val="Heading2"/>
      </w:pPr>
      <w:r>
        <w:t>6. Constitutional Traceability and Review</w:t>
      </w:r>
    </w:p>
    <w:p>
      <w:r>
        <w:t>This chapter implements the cited Book I decisions: 4–5, 11, 24, 26, 30, 34, 40, 42, 53. Constitutional and engineering review found no unresolved conflict, authority ambiguity, or Owner-level stewardship choice. Any future change follows the Book II change process and the Book I amendment rules where applicable.</w:t>
      </w:r>
    </w:p>
    <w:sectPr w:rsidR="00FC693F" w:rsidRPr="0006063C" w:rsidSect="00034616">
      <w:headerReference w:type="default" r:id="rId9"/>
      <w:footerReference w:type="default" r:id="rId10"/>
      <w:pgSz w:w="12240" w:h="15840"/>
      <w:pgMar w:top="1181" w:right="1296" w:bottom="1037" w:left="1296"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Book II • Architecture Specification • </w:t>
    </w:r>
    <w:r>
      <w:t xml:space="preserve">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7" w:space="6" w:color="C8D4E3"/>
      </w:pBdr>
    </w:pPr>
    <w:r>
      <w:rPr>
        <w:color w:val="5B6573"/>
        <w:sz w:val="16"/>
      </w:rPr>
      <w:t>HAL — BOOK II: CHAPTER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2634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