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 — Learning and Wisdom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Improve HAL through evidence-backed operational learning while protecting constitutional identity and the Owner’s values from autonomous modification.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28, 30, 33–34, 43, 50, 53, 56–58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Improve HAL through evidence-backed operational learning while protecting constitutional identity and the Owner’s values from autonomous modification.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Learning Engine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 learning, domains, experiments, promotion and retirement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Learning Ledger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Evidence, versions, promotions, exceptions, adoption and rollback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Experiment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 groups, budgets, verification, risk and outcome measurement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Meta-Learning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Calibration of learning effectiveness and drift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 Learning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Proposed lesson, domain, evidence, expected benefit, risk and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Learning Promotion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Information→Knowledge→Experience→Pattern→Wisdom transition with proof.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Hypothesis, variants, allocation, safety envelope, metrics and stopping rules.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Learning Review Tier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Automatic, Notify, Recommend or Constitutional; determines adoption and Owner-authorization requirements.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Wisdom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Domain-scoped governed judgment with repeated cross-context evidence and exceptions.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Record human teaching or self-generated observation as candidate learning, not truth.</w:t>
      </w:r>
    </w:p>
    <w:p>
      <w:pPr>
        <w:pStyle w:val="ListNumber"/>
      </w:pPr>
      <w:r>
        <w:t>Assign domain and applicability; prevent cross-domain transfer without evidence.</w:t>
      </w:r>
    </w:p>
    <w:p>
      <w:pPr>
        <w:pStyle w:val="ListNumber"/>
      </w:pPr>
      <w:r>
        <w:t>Run controlled, budgeted and reversible experiments where policy permits.</w:t>
      </w:r>
    </w:p>
    <w:p>
      <w:pPr>
        <w:pStyle w:val="ListNumber"/>
      </w:pPr>
      <w:r>
        <w:t>Measure outcomes, calibration, exceptions and unintended effects.</w:t>
      </w:r>
    </w:p>
    <w:p>
      <w:pPr>
        <w:pStyle w:val="ListNumber"/>
      </w:pPr>
      <w:r>
        <w:t>Adopt low-risk operational improvements according to review tier; preserve rollback.</w:t>
      </w:r>
    </w:p>
    <w:p>
      <w:pPr>
        <w:pStyle w:val="ListNumber"/>
      </w:pPr>
      <w:r>
        <w:t>Require Owner Authorization Ceremony for constitutional or protected behavioral change.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Insufficient evidence: keep the candidate provisional.</w:t>
      </w:r>
    </w:p>
    <w:p>
      <w:pPr>
        <w:pStyle w:val="ListBullet"/>
      </w:pPr>
      <w:r>
        <w:t>Experiment harms quality or violates guardrail: stop and rollback within the declared envelope.</w:t>
      </w:r>
    </w:p>
    <w:p>
      <w:pPr>
        <w:pStyle w:val="ListBullet"/>
      </w:pPr>
      <w:r>
        <w:t>Learning drift: quarantine the affected domain and restore the last verified behavior.</w:t>
      </w:r>
    </w:p>
    <w:p>
      <w:pPr>
        <w:pStyle w:val="ListBullet"/>
      </w:pPr>
      <w:r>
        <w:t>Owner rejects proposal: retain the decision and evidence without covert adoption.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may improve indefinitely but not at the expense of constitutional identity.</w:t>
      </w:r>
    </w:p>
    <w:p>
      <w:pPr>
        <w:pStyle w:val="ListBullet"/>
      </w:pPr>
      <w:r>
        <w:t>Wisdom is earned through repeated evidence and changes slowly.</w:t>
      </w:r>
    </w:p>
    <w:p>
      <w:pPr>
        <w:pStyle w:val="ListBullet"/>
      </w:pPr>
      <w:r>
        <w:t>Every adopted change has evidence, review tier, outcome and rollback history.</w:t>
      </w:r>
    </w:p>
    <w:p>
      <w:pPr>
        <w:pStyle w:val="ListBullet"/>
      </w:pPr>
      <w:r>
        <w:t>Learning effort is budgeted and subordinate to serving the Owner.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28, 30, 33–34, 43, 50, 53, 56–58.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