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11 — Learning and Wisdom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Revised after whole-book constitutional and cross-chapter audit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0.3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Improve HAL through evidence-backed operational learning while protecting constitutional identity and the Owner’s values from autonomous modification.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Decisions 28, 30, 33–34, 43, 50, 53, 56–58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unresolved Owner decision after whole-book audit</w:t>
            </w:r>
          </w:p>
        </w:tc>
      </w:tr>
    </w:tbl>
    <w:p>
      <w:pPr>
        <w:pStyle w:val="Heading2"/>
      </w:pPr>
      <w:r>
        <w:t>1. Purpose</w:t>
      </w:r>
    </w:p>
    <w:p>
      <w:r>
        <w:t>Improve HAL through evidence-backed operational learning while protecting constitutional identity and the Owner’s values from autonomous modification.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Learning Engine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Candidate learning, domains, experiments, promotion and retirement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Learning Ledger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Evidence, versions, promotions, exceptions, adoption and rollback history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Experiment Manager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Control groups, budgets, verification, risk and outcome measurement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Meta-Learning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Calibration of learning effectiveness and drift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Candidate Learning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Proposed lesson, domain, evidence, expected benefit, risk and confidence.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Learning Promotion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Information→Knowledge→Experience→Pattern→Wisdom transition with proof.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Experiment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Hypothesis, variants, allocation, safety envelope, metrics and stopping rules.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Learning Review Tier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Automatic, Notify, Recommend or Constitutional; determines adoption and Owner-authorization requirements.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Wisdom Object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Domain-scoped governed judgment with repeated cross-context evidence and exceptions.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Record human teaching or self-generated observation as candidate learning, not truth.</w:t>
      </w:r>
    </w:p>
    <w:p>
      <w:pPr>
        <w:pStyle w:val="ListNumber"/>
      </w:pPr>
      <w:r>
        <w:t>Assign domain and applicability; prevent cross-domain transfer without evidence.</w:t>
      </w:r>
    </w:p>
    <w:p>
      <w:pPr>
        <w:pStyle w:val="ListNumber"/>
      </w:pPr>
      <w:r>
        <w:t>Run controlled, budgeted and reversible experiments where policy permits.</w:t>
      </w:r>
    </w:p>
    <w:p>
      <w:pPr>
        <w:pStyle w:val="ListNumber"/>
      </w:pPr>
      <w:r>
        <w:t>Measure outcomes, calibration, exceptions and unintended effects.</w:t>
      </w:r>
    </w:p>
    <w:p>
      <w:pPr>
        <w:pStyle w:val="ListNumber"/>
      </w:pPr>
      <w:r>
        <w:t>Adopt low-risk operational improvements according to review tier; preserve rollback.</w:t>
      </w:r>
    </w:p>
    <w:p>
      <w:pPr>
        <w:pStyle w:val="ListNumber"/>
      </w:pPr>
      <w:r>
        <w:t>Require Owner Authorization Ceremony for constitutional or protected behavioral change.</w:t>
      </w:r>
    </w:p>
    <w:p>
      <w:pPr>
        <w:pStyle w:val="Heading2"/>
      </w:pPr>
      <w:r>
        <w:t>5. Interfaces and Contracts</w:t>
      </w:r>
    </w:p>
    <w:p>
      <w:r>
        <w:t>All commands, queries and events are typed, versioned, authenticated and correlated. Commands request mutation from the authoritative owner; queries declare consistency and privacy scope; immutable events record completed facts with identity, causation, authorization, provenance and integrity metadata.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Insufficient evidence: keep the candidate provisional.</w:t>
      </w:r>
    </w:p>
    <w:p>
      <w:pPr>
        <w:pStyle w:val="ListBullet"/>
      </w:pPr>
      <w:r>
        <w:t>Experiment harms quality or violates guardrail: stop and rollback within the declared envelope.</w:t>
      </w:r>
    </w:p>
    <w:p>
      <w:pPr>
        <w:pStyle w:val="ListBullet"/>
      </w:pPr>
      <w:r>
        <w:t>Learning drift: quarantine the affected domain and restore the last verified behavior.</w:t>
      </w:r>
    </w:p>
    <w:p>
      <w:pPr>
        <w:pStyle w:val="ListBullet"/>
      </w:pPr>
      <w:r>
        <w:t>Owner rejects proposal: retain the decision and evidence without covert adoption.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HAL may improve indefinitely but not at the expense of constitutional identity.</w:t>
      </w:r>
    </w:p>
    <w:p>
      <w:pPr>
        <w:pStyle w:val="ListBullet"/>
      </w:pPr>
      <w:r>
        <w:t>Wisdom is earned through repeated evidence and changes slowly.</w:t>
      </w:r>
    </w:p>
    <w:p>
      <w:pPr>
        <w:pStyle w:val="ListBullet"/>
      </w:pPr>
      <w:r>
        <w:t>Every adopted change has evidence, review tier, outcome and rollback history.</w:t>
      </w:r>
    </w:p>
    <w:p>
      <w:pPr>
        <w:pStyle w:val="ListBullet"/>
      </w:pPr>
      <w:r>
        <w:t>Learning effort is budgeted and subordinate to serving the Owner.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authority, reinterpret Owner intent, erase dissent, or treat a derived projection as authoritative state.</w:t>
      </w:r>
    </w:p>
    <w:p>
      <w:pPr>
        <w:pStyle w:val="ListBullet"/>
      </w:pPr>
      <w:r>
        <w:t>No degraded dependency may silently change policy, identity, trust, authentication, verification or evidence requirements.</w:t>
      </w:r>
    </w:p>
    <w:p>
      <w:pPr>
        <w:pStyle w:val="ListBullet"/>
      </w:pPr>
      <w:r>
        <w:t>No provider, model, node, Presence, secret, relationship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correlation, identity, policy/authority context, state versions, decisions, limitations, failures, recovery and outcomes. Verification is risk-scaled and produces durable evidence. Status reporting is derived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directly implements Decisions 28, 30, 33–34, 43, 50, 53, 56–58. The v0.2 rewrite restores the source-specific objects, workflows and guarantees missing from v0.1. Final disposition is recorded in the separate source-alignment and constitutional-audit reports.</w:t>
      </w:r>
    </w:p>
    <w:p>
      <w:pPr>
        <w:pStyle w:val="Heading2"/>
        <w:keepNext/>
      </w:pPr>
      <w:r>
        <w:t>Whole-Book Audit Resolution</w:t>
      </w:r>
    </w:p>
    <w:p>
      <w:pPr>
        <w:keepNext/>
      </w:pPr>
      <w:r>
        <w:t>The following requirements supersede any ambiguous earlier wording in this chapter and are incorporated into this edition:</w:t>
      </w:r>
    </w:p>
    <w:p>
      <w:pPr>
        <w:pStyle w:val="ListBullet"/>
        <w:keepLines/>
      </w:pPr>
      <w:r>
        <w:t>Embedded author approval is not conformance evidence. This chapter's constitutional status is determined only by the independent whole-book audit.</w:t>
      </w:r>
    </w:p>
    <w:p>
      <w:pPr>
        <w:pStyle w:val="ListBullet"/>
        <w:keepLines/>
      </w:pPr>
      <w:r>
        <w:t>No substantive constitutional or cross-chapter correction was required in this edition.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Revised after full Book II constitutional and cross-chapter audit.</dc:description>
  <cp:lastModifiedBy/>
  <cp:revision>1</cp:revision>
  <dcterms:created xsi:type="dcterms:W3CDTF">2013-12-23T23:15:00Z</dcterms:created>
  <dcterms:modified xsi:type="dcterms:W3CDTF">2013-12-23T23:15:00Z</dcterms:modified>
  <cp:category/>
  <cp:version>0.3</cp:version>
</cp:coreProperties>
</file>