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11 — Learning and Wisdom</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824"/>
            <w:shd w:fill="E8EEF5"/>
            <w:tcMar>
              <w:top w:w="80" w:type="dxa"/>
              <w:start w:w="120" w:type="dxa"/>
              <w:bottom w:w="80" w:type="dxa"/>
              <w:end w:w="120" w:type="dxa"/>
            </w:tcMar>
          </w:tcPr>
          <w:p>
            <w:r>
              <w:rPr>
                <w:b/>
              </w:rPr>
              <w:t>Field</w:t>
            </w:r>
          </w:p>
        </w:tc>
        <w:tc>
          <w:tcPr>
            <w:tcW w:type="dxa" w:w="4824"/>
            <w:shd w:fill="E8EEF5"/>
            <w:tcMar>
              <w:top w:w="80" w:type="dxa"/>
              <w:start w:w="120" w:type="dxa"/>
              <w:bottom w:w="80" w:type="dxa"/>
              <w:end w:w="120" w:type="dxa"/>
            </w:tcMar>
          </w:tcPr>
          <w:p>
            <w:r>
              <w:rPr>
                <w:b/>
              </w:rPr>
              <w:t>Value</w:t>
            </w:r>
          </w:p>
        </w:tc>
      </w:tr>
      <w:tr>
        <w:tc>
          <w:tcPr>
            <w:tcW w:type="dxa" w:w="4824"/>
            <w:vAlign w:val="center"/>
            <w:tcMar>
              <w:top w:w="80" w:type="dxa"/>
              <w:start w:w="120" w:type="dxa"/>
              <w:bottom w:w="80" w:type="dxa"/>
              <w:end w:w="120" w:type="dxa"/>
            </w:tcMar>
          </w:tcPr>
          <w:p>
            <w:r>
              <w:t>Status</w:t>
            </w:r>
          </w:p>
        </w:tc>
        <w:tc>
          <w:tcPr>
            <w:tcW w:type="dxa" w:w="4824"/>
            <w:vAlign w:val="center"/>
            <w:tcMar>
              <w:top w:w="80" w:type="dxa"/>
              <w:start w:w="120" w:type="dxa"/>
              <w:bottom w:w="80" w:type="dxa"/>
              <w:end w:w="120" w:type="dxa"/>
            </w:tcMar>
          </w:tcPr>
          <w:p>
            <w:r>
              <w:t>Architect draft complete; constitutional and engineering review complete</w:t>
            </w:r>
          </w:p>
        </w:tc>
      </w:tr>
      <w:tr>
        <w:tc>
          <w:tcPr>
            <w:tcW w:type="dxa" w:w="4824"/>
            <w:vAlign w:val="center"/>
            <w:tcMar>
              <w:top w:w="80" w:type="dxa"/>
              <w:start w:w="120" w:type="dxa"/>
              <w:bottom w:w="80" w:type="dxa"/>
              <w:end w:w="120" w:type="dxa"/>
            </w:tcMar>
          </w:tcPr>
          <w:p>
            <w:r>
              <w:t>Version</w:t>
            </w:r>
          </w:p>
        </w:tc>
        <w:tc>
          <w:tcPr>
            <w:tcW w:type="dxa" w:w="4824"/>
            <w:vAlign w:val="center"/>
            <w:tcMar>
              <w:top w:w="80" w:type="dxa"/>
              <w:start w:w="120" w:type="dxa"/>
              <w:bottom w:w="80" w:type="dxa"/>
              <w:end w:w="120" w:type="dxa"/>
            </w:tcMar>
          </w:tcPr>
          <w:p>
            <w:r>
              <w:t>0.1</w:t>
            </w:r>
          </w:p>
        </w:tc>
      </w:tr>
      <w:tr>
        <w:tc>
          <w:tcPr>
            <w:tcW w:type="dxa" w:w="4824"/>
            <w:vAlign w:val="center"/>
            <w:tcMar>
              <w:top w:w="80" w:type="dxa"/>
              <w:start w:w="120" w:type="dxa"/>
              <w:bottom w:w="80" w:type="dxa"/>
              <w:end w:w="120" w:type="dxa"/>
            </w:tcMar>
          </w:tcPr>
          <w:p>
            <w:r>
              <w:t>Owner review</w:t>
            </w:r>
          </w:p>
        </w:tc>
        <w:tc>
          <w:tcPr>
            <w:tcW w:type="dxa" w:w="4824"/>
            <w:vAlign w:val="center"/>
            <w:tcMar>
              <w:top w:w="80" w:type="dxa"/>
              <w:start w:w="120" w:type="dxa"/>
              <w:bottom w:w="80" w:type="dxa"/>
              <w:end w:w="120" w:type="dxa"/>
            </w:tcMar>
          </w:tcPr>
          <w:p>
            <w:r>
              <w:t>None required</w:t>
            </w:r>
          </w:p>
        </w:tc>
      </w:tr>
      <w:tr>
        <w:tc>
          <w:tcPr>
            <w:tcW w:type="dxa" w:w="4824"/>
            <w:vAlign w:val="center"/>
            <w:tcMar>
              <w:top w:w="80" w:type="dxa"/>
              <w:start w:w="120" w:type="dxa"/>
              <w:bottom w:w="80" w:type="dxa"/>
              <w:end w:w="120" w:type="dxa"/>
            </w:tcMar>
          </w:tcPr>
          <w:p>
            <w:r>
              <w:t>Constitutional basis</w:t>
            </w:r>
          </w:p>
        </w:tc>
        <w:tc>
          <w:tcPr>
            <w:tcW w:type="dxa" w:w="4824"/>
            <w:vAlign w:val="center"/>
            <w:tcMar>
              <w:top w:w="80" w:type="dxa"/>
              <w:start w:w="120" w:type="dxa"/>
              <w:bottom w:w="80" w:type="dxa"/>
              <w:end w:w="120" w:type="dxa"/>
            </w:tcMar>
          </w:tcPr>
          <w:p>
            <w:r>
              <w:t>28, 30, 33–34, 43, 50, 53, 56–58</w:t>
            </w:r>
          </w:p>
        </w:tc>
      </w:tr>
    </w:tbl>
    <w:p>
      <w:pPr>
        <w:pStyle w:val="Heading2"/>
      </w:pPr>
      <w:r>
        <w:t>1. Purpose</w:t>
      </w:r>
    </w:p>
    <w:p>
      <w:r>
        <w:t>Learning promotes information through knowledge, experience, patterns, and wisdom using evidence, outcomes, and scoped applicability.</w:t>
      </w:r>
    </w:p>
    <w:p>
      <w:pPr>
        <w:pStyle w:val="Heading2"/>
      </w:pPr>
      <w:r>
        <w:t>2. Architecture</w:t>
      </w:r>
    </w:p>
    <w:p>
      <w:pPr>
        <w:pStyle w:val="ListBullet"/>
        <w:spacing w:after="60"/>
      </w:pPr>
      <w:r>
        <w:t>Learning domains are isolated to prevent one weak adaptation from contaminating others.</w:t>
      </w:r>
    </w:p>
    <w:p>
      <w:pPr>
        <w:pStyle w:val="ListBullet"/>
        <w:spacing w:after="60"/>
      </w:pPr>
      <w:r>
        <w:t>Candidate learning, experiments, outcomes, exceptions, and retirements enter a permanent Learning Ledger.</w:t>
      </w:r>
    </w:p>
    <w:p>
      <w:pPr>
        <w:pStyle w:val="ListBullet"/>
        <w:spacing w:after="60"/>
      </w:pPr>
      <w:r>
        <w:t>Operational learning is reversible; constitutional identity and values never self-modify.</w:t>
      </w:r>
    </w:p>
    <w:p>
      <w:pPr>
        <w:pStyle w:val="Heading2"/>
      </w:pPr>
      <w:r>
        <w:t>3. Interfaces</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824"/>
            <w:shd w:fill="E8EEF5"/>
            <w:tcMar>
              <w:top w:w="80" w:type="dxa"/>
              <w:start w:w="120" w:type="dxa"/>
              <w:bottom w:w="80" w:type="dxa"/>
              <w:end w:w="120" w:type="dxa"/>
            </w:tcMar>
          </w:tcPr>
          <w:p>
            <w:r>
              <w:rPr>
                <w:b/>
              </w:rPr>
              <w:t>Interface</w:t>
            </w:r>
          </w:p>
        </w:tc>
        <w:tc>
          <w:tcPr>
            <w:tcW w:type="dxa" w:w="4824"/>
            <w:shd w:fill="E8EEF5"/>
            <w:tcMar>
              <w:top w:w="80" w:type="dxa"/>
              <w:start w:w="120" w:type="dxa"/>
              <w:bottom w:w="80" w:type="dxa"/>
              <w:end w:w="120" w:type="dxa"/>
            </w:tcMar>
          </w:tcPr>
          <w:p>
            <w:r>
              <w:rPr>
                <w:b/>
              </w:rPr>
              <w:t>Contract</w:t>
            </w:r>
          </w:p>
        </w:tc>
      </w:tr>
      <w:tr>
        <w:tc>
          <w:tcPr>
            <w:tcW w:type="dxa" w:w="4824"/>
            <w:vAlign w:val="center"/>
            <w:tcMar>
              <w:top w:w="80" w:type="dxa"/>
              <w:start w:w="120" w:type="dxa"/>
              <w:bottom w:w="80" w:type="dxa"/>
              <w:end w:w="120" w:type="dxa"/>
            </w:tcMar>
          </w:tcPr>
          <w:p>
            <w:r>
              <w:t>Submit candidate learning</w:t>
            </w:r>
          </w:p>
        </w:tc>
        <w:tc>
          <w:tcPr>
            <w:tcW w:type="dxa" w:w="4824"/>
            <w:vAlign w:val="center"/>
            <w:tcMar>
              <w:top w:w="80" w:type="dxa"/>
              <w:start w:w="120" w:type="dxa"/>
              <w:bottom w:w="80" w:type="dxa"/>
              <w:end w:w="120" w:type="dxa"/>
            </w:tcMar>
          </w:tcPr>
          <w:p>
            <w:r>
              <w:t>Typed, authenticated, authorized, auditable, and versioned.</w:t>
            </w:r>
          </w:p>
        </w:tc>
      </w:tr>
      <w:tr>
        <w:tc>
          <w:tcPr>
            <w:tcW w:type="dxa" w:w="4824"/>
            <w:vAlign w:val="center"/>
            <w:tcMar>
              <w:top w:w="80" w:type="dxa"/>
              <w:start w:w="120" w:type="dxa"/>
              <w:bottom w:w="80" w:type="dxa"/>
              <w:end w:w="120" w:type="dxa"/>
            </w:tcMar>
          </w:tcPr>
          <w:p>
            <w:r>
              <w:t>Evaluate promotion</w:t>
            </w:r>
          </w:p>
        </w:tc>
        <w:tc>
          <w:tcPr>
            <w:tcW w:type="dxa" w:w="4824"/>
            <w:vAlign w:val="center"/>
            <w:tcMar>
              <w:top w:w="80" w:type="dxa"/>
              <w:start w:w="120" w:type="dxa"/>
              <w:bottom w:w="80" w:type="dxa"/>
              <w:end w:w="120" w:type="dxa"/>
            </w:tcMar>
          </w:tcPr>
          <w:p>
            <w:r>
              <w:t>Typed, authenticated, authorized, auditable, and versioned.</w:t>
            </w:r>
          </w:p>
        </w:tc>
      </w:tr>
      <w:tr>
        <w:tc>
          <w:tcPr>
            <w:tcW w:type="dxa" w:w="4824"/>
            <w:vAlign w:val="center"/>
            <w:tcMar>
              <w:top w:w="80" w:type="dxa"/>
              <w:start w:w="120" w:type="dxa"/>
              <w:bottom w:w="80" w:type="dxa"/>
              <w:end w:w="120" w:type="dxa"/>
            </w:tcMar>
          </w:tcPr>
          <w:p>
            <w:r>
              <w:t>Record outcome</w:t>
            </w:r>
          </w:p>
        </w:tc>
        <w:tc>
          <w:tcPr>
            <w:tcW w:type="dxa" w:w="4824"/>
            <w:vAlign w:val="center"/>
            <w:tcMar>
              <w:top w:w="80" w:type="dxa"/>
              <w:start w:w="120" w:type="dxa"/>
              <w:bottom w:w="80" w:type="dxa"/>
              <w:end w:w="120" w:type="dxa"/>
            </w:tcMar>
          </w:tcPr>
          <w:p>
            <w:r>
              <w:t>Typed, authenticated, authorized, auditable, and versioned.</w:t>
            </w:r>
          </w:p>
        </w:tc>
      </w:tr>
      <w:tr>
        <w:tc>
          <w:tcPr>
            <w:tcW w:type="dxa" w:w="4824"/>
            <w:vAlign w:val="center"/>
            <w:tcMar>
              <w:top w:w="80" w:type="dxa"/>
              <w:start w:w="120" w:type="dxa"/>
              <w:bottom w:w="80" w:type="dxa"/>
              <w:end w:w="120" w:type="dxa"/>
            </w:tcMar>
          </w:tcPr>
          <w:p>
            <w:r>
              <w:t>Review learning history</w:t>
            </w:r>
          </w:p>
        </w:tc>
        <w:tc>
          <w:tcPr>
            <w:tcW w:type="dxa" w:w="4824"/>
            <w:vAlign w:val="center"/>
            <w:tcMar>
              <w:top w:w="80" w:type="dxa"/>
              <w:start w:w="120" w:type="dxa"/>
              <w:bottom w:w="80" w:type="dxa"/>
              <w:end w:w="120" w:type="dxa"/>
            </w:tcMar>
          </w:tcPr>
          <w:p>
            <w:r>
              <w:t>Typed, authenticated, authorized, auditable, and versioned.</w:t>
            </w:r>
          </w:p>
        </w:tc>
      </w:tr>
    </w:tbl>
    <w:p>
      <w:pPr>
        <w:pStyle w:val="Heading2"/>
      </w:pPr>
      <w:r>
        <w:t>4. Guarantees</w:t>
      </w:r>
    </w:p>
    <w:p>
      <w:pPr>
        <w:pStyle w:val="ListBullet"/>
        <w:spacing w:after="60"/>
      </w:pPr>
      <w:r>
        <w:t>Learning improves judgment without compromising identity.</w:t>
      </w:r>
    </w:p>
    <w:p>
      <w:pPr>
        <w:pStyle w:val="ListBullet"/>
        <w:spacing w:after="60"/>
      </w:pPr>
      <w:r>
        <w:t>Wisdom is earned by repeated evidence, not accumulated volume.</w:t>
      </w:r>
    </w:p>
    <w:p>
      <w:pPr>
        <w:pStyle w:val="Heading2"/>
      </w:pPr>
      <w:r>
        <w:t>5. Failure and Recovery</w:t>
      </w:r>
    </w:p>
    <w:p>
      <w:r>
        <w:t>When required evidence, policy, identity, authority, or a dependency is unavailable, this subsystem preserves its state and evidence, discloses any degraded capability, and defers, restricts, or escalates according to its declared failure behavior. It never silently broadens authority or changes constitutional rules.</w:t>
      </w:r>
    </w:p>
    <w:p>
      <w:pPr>
        <w:pStyle w:val="Heading2"/>
      </w:pPr>
      <w:r>
        <w:t>6. Constitutional Traceability and Review</w:t>
      </w:r>
    </w:p>
    <w:p>
      <w:r>
        <w:t>This chapter implements the cited Book I decisions: 28, 30, 33–34, 43, 50, 53, 56–58. Constitutional and engineering review found no unresolved conflict, authority ambiguity, or Owner-level stewardship choice. Any future change follows the Book II change process and the Book I amendment rules where applicable.</w:t>
      </w:r>
    </w:p>
    <w:sectPr w:rsidR="00FC693F" w:rsidRPr="0006063C" w:rsidSect="00034616">
      <w:headerReference w:type="default" r:id="rId9"/>
      <w:footerReference w:type="default" r:id="rId10"/>
      <w:pgSz w:w="12240" w:h="15840"/>
      <w:pgMar w:top="1181" w:right="1296" w:bottom="1037" w:left="1296" w:header="547" w:footer="54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B6573"/>
        <w:sz w:val="16"/>
      </w:rPr>
      <w:t xml:space="preserve">Book II • Architecture Specification • </w:t>
    </w:r>
    <w:r>
      <w:t xml:space="preserve">Page </w:t>
    </w: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7" w:space="6" w:color="C8D4E3"/>
      </w:pBdr>
    </w:pPr>
    <w:r>
      <w:rPr>
        <w:color w:val="5B6573"/>
        <w:sz w:val="16"/>
      </w:rPr>
      <w:t>HAL — BOOK II: CHAPTER 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Calibri" w:hAnsi="Calibri"/>
      <w:color w:val="263445"/>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40" w:after="140"/>
      <w:outlineLvl w:val="0"/>
    </w:pPr>
    <w:rPr>
      <w:rFonts w:asciiTheme="majorHAnsi" w:eastAsiaTheme="majorEastAsia" w:hAnsiTheme="majorHAnsi" w:cstheme="majorBidi" w:ascii="Calibri" w:hAnsi="Calibri"/>
      <w:b/>
      <w:bCs/>
      <w:color w:val="2E74B5"/>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libri" w:hAnsi="Calibri"/>
      <w:b/>
      <w:bCs/>
      <w:color w:val="1F4D78"/>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libri" w:hAnsi="Calibri"/>
      <w:b/>
      <w:bCs/>
      <w:color w:val="1F4D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0B2545"/>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80"/>
    </w:pPr>
    <w:rPr>
      <w:rFonts w:asciiTheme="majorHAnsi" w:eastAsiaTheme="majorEastAsia" w:hAnsiTheme="majorHAnsi" w:cstheme="majorBidi" w:ascii="Calibri" w:hAnsi="Calibri"/>
      <w:b w:val="0"/>
      <w:i/>
      <w:iCs/>
      <w:color w:val="5B6573"/>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