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12 — Memory and Experience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Source-aligned rewrite; architecture audit passed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0.2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Preserve every conversation, observation, event, action and outcome as immutable experience while managing active context and derived memory separately.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4, 11, 24, 30, 32, 40, 42, 44, 48, 53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None required</w:t>
            </w:r>
          </w:p>
        </w:tc>
      </w:tr>
    </w:tbl>
    <w:p>
      <w:pPr>
        <w:pStyle w:val="Heading2"/>
      </w:pPr>
      <w:r>
        <w:t>1. Purpose</w:t>
      </w:r>
    </w:p>
    <w:p>
      <w:r>
        <w:t>Preserve every conversation, observation, event, action and outcome as immutable experience while managing active context and derived memory separately.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Experience Ledger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Append-only Experience Objects and integrity chain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Context Manager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Working and short-term Active/Cooling/Dormant context states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Conversation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Conversation Objects, participants, purpose, decisions and open work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Archive Index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Searchable dormant experience and retention-class access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Experience Object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Identity, timestamp, receipt time, content reference, provenance, classification, causation and integrity.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Context Entry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Experience/knowledge reference, active state, relevance, recurrence, unresolved status and Owner priority.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Conversation Object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Purpose, state, participants, decisions, questions, dependencies and next actions.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Memory Derivation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Summary, pattern or knowledge link with source experiences and method.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Append interaction or event once with identity, time, provenance, classification and causal context.</w:t>
      </w:r>
    </w:p>
    <w:p>
      <w:pPr>
        <w:pStyle w:val="ListNumber"/>
      </w:pPr>
      <w:r>
        <w:t>Place relevant references in working context for the active task.</w:t>
      </w:r>
    </w:p>
    <w:p>
      <w:pPr>
        <w:pStyle w:val="ListNumber"/>
      </w:pPr>
      <w:r>
        <w:t>Move short-term context through Active, Cooling and Dormant; default active horizon is 30 days but relevance may extend it.</w:t>
      </w:r>
    </w:p>
    <w:p>
      <w:pPr>
        <w:pStyle w:val="ListNumber"/>
      </w:pPr>
      <w:r>
        <w:t>Run reflection to link, summarize, generalize or promote while preserving raw experience.</w:t>
      </w:r>
    </w:p>
    <w:p>
      <w:pPr>
        <w:pStyle w:val="ListNumber"/>
      </w:pPr>
      <w:r>
        <w:t>Retrieve knowledge first, patterns second and raw experience when needed.</w:t>
      </w:r>
    </w:p>
    <w:p>
      <w:pPr>
        <w:pStyle w:val="ListNumber"/>
      </w:pPr>
      <w:r>
        <w:t>Apply visibility, retention and protected-deletion policies without silently rewriting the ledger.</w:t>
      </w:r>
    </w:p>
    <w:p>
      <w:pPr>
        <w:pStyle w:val="Heading2"/>
      </w:pPr>
      <w:r>
        <w:t>5. Interfaces and Contracts</w:t>
      </w:r>
    </w:p>
    <w:p>
      <w:r>
        <w:t>All commands, queries and events are typed, versioned, authenticated and correlated. Commands request mutation from the authoritative owner; queries declare consistency and privacy scope; immutable events record completed facts with identity, causation, authorization, provenance and integrity metadata.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Ledger append unavailable: do not claim durable completion; buffer only under declared safe policy.</w:t>
      </w:r>
    </w:p>
    <w:p>
      <w:pPr>
        <w:pStyle w:val="ListBullet"/>
      </w:pPr>
      <w:r>
        <w:t>Corrupt projection: discard and rebuild from authoritative ledger entries.</w:t>
      </w:r>
    </w:p>
    <w:p>
      <w:pPr>
        <w:pStyle w:val="ListBullet"/>
      </w:pPr>
      <w:r>
        <w:t>Privacy scope uncertain: withhold content and expose only permitted metadata.</w:t>
      </w:r>
    </w:p>
    <w:p>
      <w:pPr>
        <w:pStyle w:val="ListBullet"/>
      </w:pPr>
      <w:r>
        <w:t>Pattern is disproven: revise derived knowledge; retain the supporting and contradicting experiences.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HAL never forgets experiences merely because active context expires.</w:t>
      </w:r>
    </w:p>
    <w:p>
      <w:pPr>
        <w:pStyle w:val="ListBullet"/>
      </w:pPr>
      <w:r>
        <w:t>Expiration changes accessibility, not preservation.</w:t>
      </w:r>
    </w:p>
    <w:p>
      <w:pPr>
        <w:pStyle w:val="ListBullet"/>
      </w:pPr>
      <w:r>
        <w:t>Derived memory never replaces its source experiences.</w:t>
      </w:r>
    </w:p>
    <w:p>
      <w:pPr>
        <w:pStyle w:val="ListBullet"/>
      </w:pPr>
      <w:r>
        <w:t>Shared, personal and protected visibility are explicit and policy-enforced.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authority, reinterpret Owner intent, erase dissent, or treat a derived projection as authoritative state.</w:t>
      </w:r>
    </w:p>
    <w:p>
      <w:pPr>
        <w:pStyle w:val="ListBullet"/>
      </w:pPr>
      <w:r>
        <w:t>No degraded dependency may silently change policy, identity, trust, authentication, verification or evidence requirements.</w:t>
      </w:r>
    </w:p>
    <w:p>
      <w:pPr>
        <w:pStyle w:val="ListBullet"/>
      </w:pPr>
      <w:r>
        <w:t>No provider, model, node, Presence, secret, relationship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correlation, identity, policy/authority context, state versions, decisions, limitations, failures, recovery and outcomes. Verification is risk-scaled and produces durable evidence. Status reporting is derived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directly implements Decisions 4, 11, 24, 30, 32, 40, 42, 44, 48, 53. The v0.2 rewrite restores the source-specific objects, workflows and guarantees missing from v0.1. Final disposition is recorded in the separate source-alignment and constitutional-audit reports.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