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 Memory and Experience Ledger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4, 11, 24, 30, 32, 40, 42, 44, 53</w:t>
            </w:r>
          </w:p>
        </w:tc>
      </w:tr>
    </w:tbl>
    <w:p>
      <w:pPr>
        <w:pStyle w:val="Heading2"/>
      </w:pPr>
      <w:r>
        <w:t>1. Purpose</w:t>
      </w:r>
    </w:p>
    <w:p>
      <w:r>
        <w:t>The immutable Experience Ledger preserves conversations, observations, actions, and events; active context is a retrieval state, not a deletion policy.</w:t>
      </w:r>
    </w:p>
    <w:p>
      <w:pPr>
        <w:pStyle w:val="Heading2"/>
      </w:pPr>
      <w:r>
        <w:t>2. Architecture</w:t>
      </w:r>
    </w:p>
    <w:p>
      <w:pPr>
        <w:pStyle w:val="ListBullet"/>
        <w:spacing w:after="60"/>
      </w:pPr>
      <w:r>
        <w:t>Working context, short-term active/cooling context, knowledge, and archive access are separate retrieval layers.</w:t>
      </w:r>
    </w:p>
    <w:p>
      <w:pPr>
        <w:pStyle w:val="ListBullet"/>
        <w:spacing w:after="60"/>
      </w:pPr>
      <w:r>
        <w:t>Promotion, compression, pattern extraction, and reactivation preserve links to raw experience.</w:t>
      </w:r>
    </w:p>
    <w:p>
      <w:pPr>
        <w:pStyle w:val="ListBullet"/>
        <w:spacing w:after="60"/>
      </w:pPr>
      <w:r>
        <w:t>Retention, visibility, encryption, and deletion exceptions follow policy and protected audit requirements.</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Append experience</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Retrieve context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Promote pattern</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Archive/retrieve</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Expiration changes accessibility, not preservation.</w:t>
      </w:r>
    </w:p>
    <w:p>
      <w:pPr>
        <w:pStyle w:val="ListBullet"/>
        <w:spacing w:after="60"/>
      </w:pPr>
      <w:r>
        <w:t>Every derived memory remains traceable to experience and policy.</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4, 11, 24, 30, 32, 40, 42, 44, 53.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