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— Temporal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 time as commitments, dependencies, causality, recurrence, aging and confidence so scheduling and historical reasoning remain honest.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21, 30, 35, 40, 44, 50, 54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Represent time as commitments, dependencies, causality, recurrence, aging and confidence so scheduling and historical reasoning remain honest.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model, conversions, confidence and correction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Commitments, dependencies, windows, recurrence and deadlines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Causal Clock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Logical ordering for distributed events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Policy-driven freshness, decay and retention transitions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Wall-clock, logical, human and system time with timezone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Owner, obligation, window, dependency, recurrence, priority and consequence.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Correction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 value, corrected interpretation, evidence, reason and audit link.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Recurrence Pattern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cadence, confidence, exceptions and next expected interval.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Capture occurrence time, receipt time, source clock and clock confidence.</w:t>
      </w:r>
    </w:p>
    <w:p>
      <w:pPr>
        <w:pStyle w:val="ListNumber"/>
      </w:pPr>
      <w:r>
        <w:t>Order distributed events causally where wall clocks cannot establish certainty.</w:t>
      </w:r>
    </w:p>
    <w:p>
      <w:pPr>
        <w:pStyle w:val="ListNumber"/>
      </w:pPr>
      <w:r>
        <w:t>Model commitments as windows and dependencies rather than bare timestamps.</w:t>
      </w:r>
    </w:p>
    <w:p>
      <w:pPr>
        <w:pStyle w:val="ListNumber"/>
      </w:pPr>
      <w:r>
        <w:t>Learn recurrence from preserved experiences and maintain exceptions.</w:t>
      </w:r>
    </w:p>
    <w:p>
      <w:pPr>
        <w:pStyle w:val="ListNumber"/>
      </w:pPr>
      <w:r>
        <w:t>Age evidence, context and knowledge according to type-specific policy.</w:t>
      </w:r>
    </w:p>
    <w:p>
      <w:pPr>
        <w:pStyle w:val="ListNumber"/>
      </w:pPr>
      <w:r>
        <w:t>Correct interpretations by appending clarification; never rewrite historical occurrence records.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Clock disagreement: lower time confidence and use causal ordering.</w:t>
      </w:r>
    </w:p>
    <w:p>
      <w:pPr>
        <w:pStyle w:val="ListBullet"/>
      </w:pPr>
      <w:r>
        <w:t>Missed deadline: record breach, consequence and recovery; do not move the historical due time.</w:t>
      </w:r>
    </w:p>
    <w:p>
      <w:pPr>
        <w:pStyle w:val="ListBullet"/>
      </w:pPr>
      <w:r>
        <w:t>Unknown timezone or human intent: ask before creating consequential commitments.</w:t>
      </w:r>
    </w:p>
    <w:p>
      <w:pPr>
        <w:pStyle w:val="ListBullet"/>
      </w:pPr>
      <w:r>
        <w:t>Offline node: operate within bounded leases and reconcile time evidence on return.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Historical state can be reconstructed as understood at a prior time.</w:t>
      </w:r>
    </w:p>
    <w:p>
      <w:pPr>
        <w:pStyle w:val="ListBullet"/>
      </w:pPr>
      <w:r>
        <w:t>History may be clarified but never rewritten.</w:t>
      </w:r>
    </w:p>
    <w:p>
      <w:pPr>
        <w:pStyle w:val="ListBullet"/>
      </w:pPr>
      <w:r>
        <w:t>Temporal uncertainty is explicit in authorization, evidence and scheduling.</w:t>
      </w:r>
    </w:p>
    <w:p>
      <w:pPr>
        <w:pStyle w:val="ListBullet"/>
      </w:pPr>
      <w:r>
        <w:t>Recurring behavior is inferred from experience, not assumed from one event.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21, 30, 35, 40, 44, 50, 54.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Temporal Service and Temporal Commitment Service own time facts and scheduling constraints.</w:t>
      </w:r>
    </w:p>
    <w:p>
      <w:pPr>
        <w:pStyle w:val="ListBullet"/>
        <w:keepLines/>
      </w:pPr>
      <w:r>
        <w:t>Only the Chapter 8 Scheduler admits and places work. Chapter 13 does not independently dispatch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