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 Temporal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4, 21, 30, 35, 40, 44, 50, 54</w:t>
            </w:r>
          </w:p>
        </w:tc>
      </w:tr>
    </w:tbl>
    <w:p>
      <w:pPr>
        <w:pStyle w:val="Heading2"/>
      </w:pPr>
      <w:r>
        <w:t>1. Purpose</w:t>
      </w:r>
    </w:p>
    <w:p>
      <w:r>
        <w:t>HAL models time as commitments, causality, recurrence, aging, confidence, and continuity rather than timestamps alone.</w:t>
      </w:r>
    </w:p>
    <w:p>
      <w:pPr>
        <w:pStyle w:val="Heading2"/>
      </w:pPr>
      <w:r>
        <w:t>2. Architecture</w:t>
      </w:r>
    </w:p>
    <w:p>
      <w:pPr>
        <w:pStyle w:val="ListBullet"/>
        <w:spacing w:after="60"/>
      </w:pPr>
      <w:r>
        <w:t>Wall-clock, logical, human, and system time have distinct semantics.</w:t>
      </w:r>
    </w:p>
    <w:p>
      <w:pPr>
        <w:pStyle w:val="ListBullet"/>
        <w:spacing w:after="60"/>
      </w:pPr>
      <w:r>
        <w:t>Temporal confidence accompanies ordering, expiry, scheduling, and freshness decisions.</w:t>
      </w:r>
    </w:p>
    <w:p>
      <w:pPr>
        <w:pStyle w:val="ListBullet"/>
        <w:spacing w:after="60"/>
      </w:pPr>
      <w:r>
        <w:t>History can be clarified by new evidence but cannot be silently rewritten.</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Temporal query</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Schedule commitment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Record recurrence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Correct time evidence</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Time uncertainty is explicit.</w:t>
      </w:r>
    </w:p>
    <w:p>
      <w:pPr>
        <w:pStyle w:val="ListBullet"/>
        <w:spacing w:after="60"/>
      </w:pPr>
      <w:r>
        <w:t>Scheduling respects dependency, policy, privacy, and Owner priorities.</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4, 21, 30, 35, 40, 44, 50, 54.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