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14 — Presence and Human Interaction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 rewrite;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Express one HAL identity through multiple contextual Presences while preserving identity, privacy, authority and conversation continuity.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27, 32, 45, 48, 51–52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Express one HAL identity through multiple contextual Presences while preserving identity, privacy, authority and conversation continuity.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Presence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Presence Objects, lifecycle, routing and continuity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Interaction Coordinator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Modality, audience, handoff and response rendering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Privacy Context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Audience, location, sensor and disclosure conditions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Local Presence Runtime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Bounded cache, device capability and offline interaction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Presence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Device, active user, modalities, sensors, outputs, permissions, trust, network, resources and privacy.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Interaction Session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Participants, identity confidence, conversation, modality, disclosure scope and handoff token.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Presence Handoff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Source, destination, context subset, privacy review and continuity state.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Audience Context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Observed people, confidence, sensitivity and permitted disclosure.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Register and verify the device/service identity separately from HAL identity.</w:t>
      </w:r>
    </w:p>
    <w:p>
      <w:pPr>
        <w:pStyle w:val="ListNumber"/>
      </w:pPr>
      <w:r>
        <w:t>Create a Presence with declared sensors, outputs, resource limits and privacy characteristics.</w:t>
      </w:r>
    </w:p>
    <w:p>
      <w:pPr>
        <w:pStyle w:val="ListNumber"/>
      </w:pPr>
      <w:r>
        <w:t>Authenticate the active human and calculate permitted disclosure for the current audience.</w:t>
      </w:r>
    </w:p>
    <w:p>
      <w:pPr>
        <w:pStyle w:val="ListNumber"/>
      </w:pPr>
      <w:r>
        <w:t>Route interaction to the suitable modality and capability without changing underlying content authority.</w:t>
      </w:r>
    </w:p>
    <w:p>
      <w:pPr>
        <w:pStyle w:val="ListNumber"/>
      </w:pPr>
      <w:r>
        <w:t>Handoff selected context to another Presence after identity and privacy checks.</w:t>
      </w:r>
    </w:p>
    <w:p>
      <w:pPr>
        <w:pStyle w:val="ListNumber"/>
      </w:pPr>
      <w:r>
        <w:t>Keep local caches bounded, encrypted and non-authoritative; reconcile on reconnect.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Identity uncertainty: reduce disclosure and require step-up before sensitive action.</w:t>
      </w:r>
    </w:p>
    <w:p>
      <w:pPr>
        <w:pStyle w:val="ListBullet"/>
      </w:pPr>
      <w:r>
        <w:t>Public or unknown audience: suppress private content by policy.</w:t>
      </w:r>
    </w:p>
    <w:p>
      <w:pPr>
        <w:pStyle w:val="ListBullet"/>
      </w:pPr>
      <w:r>
        <w:t>Presence offline: continue only within cached, delegated authority and disclose limitations.</w:t>
      </w:r>
    </w:p>
    <w:p>
      <w:pPr>
        <w:pStyle w:val="ListBullet"/>
      </w:pPr>
      <w:r>
        <w:t>Compromised Presence: quarantine it without changing HAL’s constitutional identity.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possesses one identity regardless of the number of Presences.</w:t>
      </w:r>
    </w:p>
    <w:p>
      <w:pPr>
        <w:pStyle w:val="ListBullet"/>
      </w:pPr>
      <w:r>
        <w:t>A Presence changes interaction, never authority or identity.</w:t>
      </w:r>
    </w:p>
    <w:p>
      <w:pPr>
        <w:pStyle w:val="ListBullet"/>
      </w:pPr>
      <w:r>
        <w:t>Privacy follows participant, audience, place and purpose—not device convenience.</w:t>
      </w:r>
    </w:p>
    <w:p>
      <w:pPr>
        <w:pStyle w:val="ListBullet"/>
      </w:pPr>
      <w:r>
        <w:t>Conversation continuity never bypasses fresh authentication or disclosure policy.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27, 32, 45, 48, 51–52. The v0.2 rewrite restores the source-specific objects, workflows and guarantees missing from v0.1. Final disposition is recorded in the separate source-alignment and constitutional-audit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