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14 — Presence and Human Interaction</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Field</w:t>
            </w:r>
          </w:p>
        </w:tc>
        <w:tc>
          <w:tcPr>
            <w:tcW w:type="dxa" w:w="4824"/>
            <w:shd w:fill="E8EEF5"/>
            <w:tcMar>
              <w:top w:w="80" w:type="dxa"/>
              <w:start w:w="120" w:type="dxa"/>
              <w:bottom w:w="80" w:type="dxa"/>
              <w:end w:w="120" w:type="dxa"/>
            </w:tcMar>
          </w:tcPr>
          <w:p>
            <w:r>
              <w:rPr>
                <w:b/>
              </w:rPr>
              <w:t>Value</w:t>
            </w:r>
          </w:p>
        </w:tc>
      </w:tr>
      <w:tr>
        <w:tc>
          <w:tcPr>
            <w:tcW w:type="dxa" w:w="4824"/>
            <w:vAlign w:val="center"/>
            <w:tcMar>
              <w:top w:w="80" w:type="dxa"/>
              <w:start w:w="120" w:type="dxa"/>
              <w:bottom w:w="80" w:type="dxa"/>
              <w:end w:w="120" w:type="dxa"/>
            </w:tcMar>
          </w:tcPr>
          <w:p>
            <w:r>
              <w:t>Status</w:t>
            </w:r>
          </w:p>
        </w:tc>
        <w:tc>
          <w:tcPr>
            <w:tcW w:type="dxa" w:w="4824"/>
            <w:vAlign w:val="center"/>
            <w:tcMar>
              <w:top w:w="80" w:type="dxa"/>
              <w:start w:w="120" w:type="dxa"/>
              <w:bottom w:w="80" w:type="dxa"/>
              <w:end w:w="120" w:type="dxa"/>
            </w:tcMar>
          </w:tcPr>
          <w:p>
            <w:r>
              <w:t>Architect draft complete; constitutional and engineering review complete</w:t>
            </w:r>
          </w:p>
        </w:tc>
      </w:tr>
      <w:tr>
        <w:tc>
          <w:tcPr>
            <w:tcW w:type="dxa" w:w="4824"/>
            <w:vAlign w:val="center"/>
            <w:tcMar>
              <w:top w:w="80" w:type="dxa"/>
              <w:start w:w="120" w:type="dxa"/>
              <w:bottom w:w="80" w:type="dxa"/>
              <w:end w:w="120" w:type="dxa"/>
            </w:tcMar>
          </w:tcPr>
          <w:p>
            <w:r>
              <w:t>Version</w:t>
            </w:r>
          </w:p>
        </w:tc>
        <w:tc>
          <w:tcPr>
            <w:tcW w:type="dxa" w:w="4824"/>
            <w:vAlign w:val="center"/>
            <w:tcMar>
              <w:top w:w="80" w:type="dxa"/>
              <w:start w:w="120" w:type="dxa"/>
              <w:bottom w:w="80" w:type="dxa"/>
              <w:end w:w="120" w:type="dxa"/>
            </w:tcMar>
          </w:tcPr>
          <w:p>
            <w:r>
              <w:t>0.1</w:t>
            </w:r>
          </w:p>
        </w:tc>
      </w:tr>
      <w:tr>
        <w:tc>
          <w:tcPr>
            <w:tcW w:type="dxa" w:w="4824"/>
            <w:vAlign w:val="center"/>
            <w:tcMar>
              <w:top w:w="80" w:type="dxa"/>
              <w:start w:w="120" w:type="dxa"/>
              <w:bottom w:w="80" w:type="dxa"/>
              <w:end w:w="120" w:type="dxa"/>
            </w:tcMar>
          </w:tcPr>
          <w:p>
            <w:r>
              <w:t>Owner review</w:t>
            </w:r>
          </w:p>
        </w:tc>
        <w:tc>
          <w:tcPr>
            <w:tcW w:type="dxa" w:w="4824"/>
            <w:vAlign w:val="center"/>
            <w:tcMar>
              <w:top w:w="80" w:type="dxa"/>
              <w:start w:w="120" w:type="dxa"/>
              <w:bottom w:w="80" w:type="dxa"/>
              <w:end w:w="120" w:type="dxa"/>
            </w:tcMar>
          </w:tcPr>
          <w:p>
            <w:r>
              <w:t>None required</w:t>
            </w:r>
          </w:p>
        </w:tc>
      </w:tr>
      <w:tr>
        <w:tc>
          <w:tcPr>
            <w:tcW w:type="dxa" w:w="4824"/>
            <w:vAlign w:val="center"/>
            <w:tcMar>
              <w:top w:w="80" w:type="dxa"/>
              <w:start w:w="120" w:type="dxa"/>
              <w:bottom w:w="80" w:type="dxa"/>
              <w:end w:w="120" w:type="dxa"/>
            </w:tcMar>
          </w:tcPr>
          <w:p>
            <w:r>
              <w:t>Constitutional basis</w:t>
            </w:r>
          </w:p>
        </w:tc>
        <w:tc>
          <w:tcPr>
            <w:tcW w:type="dxa" w:w="4824"/>
            <w:vAlign w:val="center"/>
            <w:tcMar>
              <w:top w:w="80" w:type="dxa"/>
              <w:start w:w="120" w:type="dxa"/>
              <w:bottom w:w="80" w:type="dxa"/>
              <w:end w:w="120" w:type="dxa"/>
            </w:tcMar>
          </w:tcPr>
          <w:p>
            <w:r>
              <w:t>27, 32, 45, 48–49, 51–52</w:t>
            </w:r>
          </w:p>
        </w:tc>
      </w:tr>
    </w:tbl>
    <w:p>
      <w:pPr>
        <w:pStyle w:val="Heading2"/>
      </w:pPr>
      <w:r>
        <w:t>1. Purpose</w:t>
      </w:r>
    </w:p>
    <w:p>
      <w:r>
        <w:t>One HAL identity is expressed through many Presences with different devices, audiences, sensors, privacy conditions, and capabilities.</w:t>
      </w:r>
    </w:p>
    <w:p>
      <w:pPr>
        <w:pStyle w:val="Heading2"/>
      </w:pPr>
      <w:r>
        <w:t>2. Architecture</w:t>
      </w:r>
    </w:p>
    <w:p>
      <w:pPr>
        <w:pStyle w:val="ListBullet"/>
        <w:spacing w:after="60"/>
      </w:pPr>
      <w:r>
        <w:t>Presence Objects state active user, device identity, privacy class, capability availability, network, and resource context.</w:t>
      </w:r>
    </w:p>
    <w:p>
      <w:pPr>
        <w:pStyle w:val="ListBullet"/>
        <w:spacing w:after="60"/>
      </w:pPr>
      <w:r>
        <w:t>Interactions may migrate between Presences while retaining intent, identity, and appropriate disclosure boundaries.</w:t>
      </w:r>
    </w:p>
    <w:p>
      <w:pPr>
        <w:pStyle w:val="ListBullet"/>
        <w:spacing w:after="60"/>
      </w:pPr>
      <w:r>
        <w:t>Voice, desktop, mobile, watch, robot, API, and future embodiments use the same identity and authority model.</w:t>
      </w:r>
    </w:p>
    <w:p>
      <w:pPr>
        <w:pStyle w:val="Heading2"/>
      </w:pPr>
      <w:r>
        <w:t>3. Interfaces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80" w:type="dxa"/>
              <w:start w:w="120" w:type="dxa"/>
              <w:bottom w:w="80" w:type="dxa"/>
              <w:end w:w="120" w:type="dxa"/>
            </w:tcMar>
          </w:tcPr>
          <w:p>
            <w:r>
              <w:rPr>
                <w:b/>
              </w:rPr>
              <w:t>Interface</w:t>
            </w:r>
          </w:p>
        </w:tc>
        <w:tc>
          <w:tcPr>
            <w:tcW w:type="dxa" w:w="4824"/>
            <w:shd w:fill="E8EEF5"/>
            <w:tcMar>
              <w:top w:w="80" w:type="dxa"/>
              <w:start w:w="120" w:type="dxa"/>
              <w:bottom w:w="80" w:type="dxa"/>
              <w:end w:w="120" w:type="dxa"/>
            </w:tcMar>
          </w:tcPr>
          <w:p>
            <w:r>
              <w:rPr>
                <w:b/>
              </w:rPr>
              <w:t>Contract</w:t>
            </w:r>
          </w:p>
        </w:tc>
      </w:tr>
      <w:tr>
        <w:tc>
          <w:tcPr>
            <w:tcW w:type="dxa" w:w="4824"/>
            <w:vAlign w:val="center"/>
            <w:tcMar>
              <w:top w:w="80" w:type="dxa"/>
              <w:start w:w="120" w:type="dxa"/>
              <w:bottom w:w="80" w:type="dxa"/>
              <w:end w:w="120" w:type="dxa"/>
            </w:tcMar>
          </w:tcPr>
          <w:p>
            <w:r>
              <w:t>Presence registration</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Interaction handoff</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Privacy-context query</w:t>
            </w:r>
          </w:p>
        </w:tc>
        <w:tc>
          <w:tcPr>
            <w:tcW w:type="dxa" w:w="4824"/>
            <w:vAlign w:val="center"/>
            <w:tcMar>
              <w:top w:w="80" w:type="dxa"/>
              <w:start w:w="120" w:type="dxa"/>
              <w:bottom w:w="80" w:type="dxa"/>
              <w:end w:w="120" w:type="dxa"/>
            </w:tcMar>
          </w:tcPr>
          <w:p>
            <w:r>
              <w:t>Typed, authenticated, authorized, auditable, and versioned.</w:t>
            </w:r>
          </w:p>
        </w:tc>
      </w:tr>
      <w:tr>
        <w:tc>
          <w:tcPr>
            <w:tcW w:type="dxa" w:w="4824"/>
            <w:vAlign w:val="center"/>
            <w:tcMar>
              <w:top w:w="80" w:type="dxa"/>
              <w:start w:w="120" w:type="dxa"/>
              <w:bottom w:w="80" w:type="dxa"/>
              <w:end w:w="120" w:type="dxa"/>
            </w:tcMar>
          </w:tcPr>
          <w:p>
            <w:r>
              <w:t>Presence health</w:t>
            </w:r>
          </w:p>
        </w:tc>
        <w:tc>
          <w:tcPr>
            <w:tcW w:type="dxa" w:w="4824"/>
            <w:vAlign w:val="center"/>
            <w:tcMar>
              <w:top w:w="80" w:type="dxa"/>
              <w:start w:w="120" w:type="dxa"/>
              <w:bottom w:w="80" w:type="dxa"/>
              <w:end w:w="120" w:type="dxa"/>
            </w:tcMar>
          </w:tcPr>
          <w:p>
            <w:r>
              <w:t>Typed, authenticated, authorized, auditable, and versioned.</w:t>
            </w:r>
          </w:p>
        </w:tc>
      </w:tr>
    </w:tbl>
    <w:p>
      <w:pPr>
        <w:pStyle w:val="Heading2"/>
      </w:pPr>
      <w:r>
        <w:t>4. Guarantees</w:t>
      </w:r>
    </w:p>
    <w:p>
      <w:pPr>
        <w:pStyle w:val="ListBullet"/>
        <w:spacing w:after="60"/>
      </w:pPr>
      <w:r>
        <w:t>A Presence changes interaction, never HAL identity.</w:t>
      </w:r>
    </w:p>
    <w:p>
      <w:pPr>
        <w:pStyle w:val="ListBullet"/>
        <w:spacing w:after="60"/>
      </w:pPr>
      <w:r>
        <w:t>Presence context informs disclosure only through policy.</w:t>
      </w:r>
    </w:p>
    <w:p>
      <w:pPr>
        <w:pStyle w:val="Heading2"/>
      </w:pPr>
      <w:r>
        <w:t>5. Failure and Recovery</w:t>
      </w:r>
    </w:p>
    <w:p>
      <w:r>
        <w:t>When required evidence, policy, identity, authority, or a dependency is unavailable, this subsystem preserves its state and evidence, discloses any degraded capability, and defers, restricts, or escalates according to its declared failure behavior. It never silently broadens authority or changes constitutional rules.</w:t>
      </w:r>
    </w:p>
    <w:p>
      <w:pPr>
        <w:pStyle w:val="Heading2"/>
      </w:pPr>
      <w:r>
        <w:t>6. Constitutional Traceability and Review</w:t>
      </w:r>
    </w:p>
    <w:p>
      <w:r>
        <w:t>This chapter implements the cited Book I decisions: 27, 32, 45, 48–49, 51–52. Constitutional and engineering review found no unresolved conflict, authority ambiguity, or Owner-level stewardship choice. Any future change follows the Book II change process and the Book I amendment rules where applicable.</w:t>
      </w:r>
    </w:p>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II • Architecture Specification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II: CHAPTER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