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15 — Capability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Decouple what HAL intends to accomplish from the replaceable providers and technologies that perform it.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10, 13–16, 21, 29, 32, 36, 41, 43, 49–50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Decouple what HAL intends to accomplish from the replaceable providers and technologies that perform it.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Capability Catalog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Capability Contract identity, versions, composition and lifecycle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 Registry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Current provider identity, availability, health, trust, benchmarks and policy fitness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Adapter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Technical integration, compatibility, sandbox and credential references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Capability Router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 choice within policy, privacy, resource, risk and verification constraints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Capability Contract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Outcome, inputs, outputs, constraints, side effects, quality, permission, risk and evaluation.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 Manifest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Claims, versions, dependencies, data use, costs, locality and supported contracts.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 Fitness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Observed performance, health, trust, calibration, conditions and evidence.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Capability Invocation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Intent, contract version, provider, adapter, execution envelope, transaction and result.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Owner approves a new capability class through the protected process.</w:t>
      </w:r>
    </w:p>
    <w:p>
      <w:pPr>
        <w:pStyle w:val="ListNumber"/>
      </w:pPr>
      <w:r>
        <w:t>Discover provider manifests as claims; authenticate and verify the provider identity.</w:t>
      </w:r>
    </w:p>
    <w:p>
      <w:pPr>
        <w:pStyle w:val="ListNumber"/>
      </w:pPr>
      <w:r>
        <w:t>Benchmark and observe capability performance before preferred status.</w:t>
      </w:r>
    </w:p>
    <w:p>
      <w:pPr>
        <w:pStyle w:val="ListNumber"/>
      </w:pPr>
      <w:r>
        <w:t>Route an approved request using capability fit, policy, privacy, trust, availability, cost and locality.</w:t>
      </w:r>
    </w:p>
    <w:p>
      <w:pPr>
        <w:pStyle w:val="ListNumber"/>
      </w:pPr>
      <w:r>
        <w:t>Invoke through a sandboxed adapter with scoped credentials and transaction context.</w:t>
      </w:r>
    </w:p>
    <w:p>
      <w:pPr>
        <w:pStyle w:val="ListNumber"/>
      </w:pPr>
      <w:r>
        <w:t>Evaluate result, update fitness evidence and retire or quarantine unsafe providers.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Provider outage: route only to compatible verified alternatives or disclose unavailability.</w:t>
      </w:r>
    </w:p>
    <w:p>
      <w:pPr>
        <w:pStyle w:val="ListBullet"/>
      </w:pPr>
      <w:r>
        <w:t>Adapter compromise: quarantine adapter/provider and revoke scoped credentials.</w:t>
      </w:r>
    </w:p>
    <w:p>
      <w:pPr>
        <w:pStyle w:val="ListBullet"/>
      </w:pPr>
      <w:r>
        <w:t>Version incompatibility: retain coexistence or block invocation; never guess contract semantics.</w:t>
      </w:r>
    </w:p>
    <w:p>
      <w:pPr>
        <w:pStyle w:val="ListBullet"/>
      </w:pPr>
      <w:r>
        <w:t>Treaty missing: external provider receives no protected data or invocation.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Capabilities extend HAL’s reach but never their own authority.</w:t>
      </w:r>
    </w:p>
    <w:p>
      <w:pPr>
        <w:pStyle w:val="ListBullet"/>
      </w:pPr>
      <w:r>
        <w:t>Provider claims are evidence candidates, not trusted facts.</w:t>
      </w:r>
    </w:p>
    <w:p>
      <w:pPr>
        <w:pStyle w:val="ListBullet"/>
      </w:pPr>
      <w:r>
        <w:t>Every invocation is attributable to an approved intent, contract, provider and transaction.</w:t>
      </w:r>
    </w:p>
    <w:p>
      <w:pPr>
        <w:pStyle w:val="ListBullet"/>
      </w:pPr>
      <w:r>
        <w:t>Implementations may change without changing capability semantics or HAL identity.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10, 13–16, 21, 29, 32, 36, 41, 43, 49–50.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