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15 — Capability Architecture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Architect draft complete; constitutional and engineering review complete</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0.1</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None required</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10, 13–16, 21, 29, 32, 36, 41, 43, 49–50</w:t>
            </w:r>
          </w:p>
        </w:tc>
      </w:tr>
    </w:tbl>
    <w:p>
      <w:pPr>
        <w:pStyle w:val="Heading2"/>
      </w:pPr>
      <w:r>
        <w:t>1. Purpose</w:t>
      </w:r>
    </w:p>
    <w:p>
      <w:r>
        <w:t>Capabilities are implementation-neutral contracts that bind intent to governed providers through adapters, manifests, policy, and transactions.</w:t>
      </w:r>
    </w:p>
    <w:p>
      <w:pPr>
        <w:pStyle w:val="Heading2"/>
      </w:pPr>
      <w:r>
        <w:t>2. Architecture</w:t>
      </w:r>
    </w:p>
    <w:p>
      <w:pPr>
        <w:pStyle w:val="ListBullet"/>
        <w:spacing w:after="60"/>
      </w:pPr>
      <w:r>
        <w:t>Contracts declare inputs, outputs, constraints, side effects, quality, permissions, risk, and evaluation criteria.</w:t>
      </w:r>
    </w:p>
    <w:p>
      <w:pPr>
        <w:pStyle w:val="ListBullet"/>
        <w:spacing w:after="60"/>
      </w:pPr>
      <w:r>
        <w:t>Providers are discovered and routed using evidence, health, trust, privacy, cost, locality, and policy.</w:t>
      </w:r>
    </w:p>
    <w:p>
      <w:pPr>
        <w:pStyle w:val="ListBullet"/>
        <w:spacing w:after="60"/>
      </w:pPr>
      <w:r>
        <w:t>Capabilities can extend reach but never self-grant authority or bypass Treaties.</w:t>
      </w:r>
    </w:p>
    <w:p>
      <w:pPr>
        <w:pStyle w:val="Heading2"/>
      </w:pPr>
      <w:r>
        <w:t>3. Interfaces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w:t>
            </w:r>
          </w:p>
        </w:tc>
        <w:tc>
          <w:tcPr>
            <w:tcW w:type="dxa" w:w="4824"/>
            <w:shd w:fill="E8EEF5"/>
            <w:tcMar>
              <w:top w:w="80" w:type="dxa"/>
              <w:start w:w="120" w:type="dxa"/>
              <w:bottom w:w="80" w:type="dxa"/>
              <w:end w:w="120" w:type="dxa"/>
            </w:tcMar>
          </w:tcPr>
          <w:p>
            <w:r>
              <w:rPr>
                <w:b/>
              </w:rPr>
              <w:t>Contract</w:t>
            </w:r>
          </w:p>
        </w:tc>
      </w:tr>
      <w:tr>
        <w:tc>
          <w:tcPr>
            <w:tcW w:type="dxa" w:w="4824"/>
            <w:vAlign w:val="center"/>
            <w:tcMar>
              <w:top w:w="80" w:type="dxa"/>
              <w:start w:w="120" w:type="dxa"/>
              <w:bottom w:w="80" w:type="dxa"/>
              <w:end w:w="120" w:type="dxa"/>
            </w:tcMar>
          </w:tcPr>
          <w:p>
            <w:r>
              <w:t>Register capability</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Discover provider</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Invoke contract</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Evaluate provider</w:t>
            </w:r>
          </w:p>
        </w:tc>
        <w:tc>
          <w:tcPr>
            <w:tcW w:type="dxa" w:w="4824"/>
            <w:vAlign w:val="center"/>
            <w:tcMar>
              <w:top w:w="80" w:type="dxa"/>
              <w:start w:w="120" w:type="dxa"/>
              <w:bottom w:w="80" w:type="dxa"/>
              <w:end w:w="120" w:type="dxa"/>
            </w:tcMar>
          </w:tcPr>
          <w:p>
            <w:r>
              <w:t>Typed, authenticated, authorized, auditable, and versioned.</w:t>
            </w:r>
          </w:p>
        </w:tc>
      </w:tr>
    </w:tbl>
    <w:p>
      <w:pPr>
        <w:pStyle w:val="Heading2"/>
      </w:pPr>
      <w:r>
        <w:t>4. Guarantees</w:t>
      </w:r>
    </w:p>
    <w:p>
      <w:pPr>
        <w:pStyle w:val="ListBullet"/>
        <w:spacing w:after="60"/>
      </w:pPr>
      <w:r>
        <w:t>HAL is defined by capability contracts, not implementations.</w:t>
      </w:r>
    </w:p>
    <w:p>
      <w:pPr>
        <w:pStyle w:val="ListBullet"/>
        <w:spacing w:after="60"/>
      </w:pPr>
      <w:r>
        <w:t>Capability usefulness never grants constitutional authority.</w:t>
      </w:r>
    </w:p>
    <w:p>
      <w:pPr>
        <w:pStyle w:val="Heading2"/>
      </w:pPr>
      <w:r>
        <w:t>5. Failure and Recovery</w:t>
      </w:r>
    </w:p>
    <w:p>
      <w:r>
        <w:t>When required evidence, policy, identity, authority, or a dependency is unavailable, this subsystem preserves its state and evidence, discloses any degraded capability, and defers, restricts, or escalates according to its declared failure behavior. It never silently broadens authority or changes constitutional rules.</w:t>
      </w:r>
    </w:p>
    <w:p>
      <w:pPr>
        <w:pStyle w:val="Heading2"/>
      </w:pPr>
      <w:r>
        <w:t>6. Constitutional Traceability and Review</w:t>
      </w:r>
    </w:p>
    <w:p>
      <w:r>
        <w:t>This chapter implements the cited Book I decisions: 10, 13–16, 21, 29, 32, 36, 41, 43, 49–50. Constitutional and engineering review found no unresolved conflict, authority ambiguity, or Owner-level stewardship choice. Any future change follows the Book II change process and the Book I amendment rules where applicable.</w:t>
      </w:r>
    </w:p>
    <w:sectPr w:rsidR="00FC693F" w:rsidRPr="0006063C" w:rsidSect="00034616">
      <w:headerReference w:type="default" r:id="rId9"/>
      <w:footerReference w:type="default" r:id="rId10"/>
      <w:pgSz w:w="12240" w:h="15840"/>
      <w:pgMar w:top="1181" w:right="1296" w:bottom="1037"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Book II • Architecture Specification • </w:t>
    </w:r>
    <w: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rPr>
        <w:color w:val="5B6573"/>
        <w:sz w:val="16"/>
      </w:rPr>
      <w:t>HAL — BOOK II: CHAPTER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