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16 — Action and Transaction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Turn approved intent into recoverable, observable execution with explicit commit barriers, rollback and compensation.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9, 16, 20–22, 25, 29, 35, 40, 50, 55–56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Turn approved intent into recoverable, observable execution with explicit commit barriers, rollback and compensation.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state, journals, commit barriers and recovery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Execution Orchestrator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Provider/node binding, ordering, concurrency, retries and cancellation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Effect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 side effects, reversibility, idempotency and compensation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Precondition, dry-run and outcome verification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Intent, plan, actor, authority, policy, state, effects, recovery and outcome.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Transaction State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Planned, Validating, Authorized, Simulating, Executing, Paused, Compensating, Verifying, Completed, Failed or Awaiting Owner.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Execution Attempt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Provider, node, input, start/end, result, evidence and retry relation.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Commit Barrier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Exact irreversible transition, required evidence and authorization.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Compensation Plan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Real-world counteraction, limits, cost, authority and verification.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Create a Planned transaction from an approved plan and bind intent, identity, authority and policy versions.</w:t>
      </w:r>
    </w:p>
    <w:p>
      <w:pPr>
        <w:pStyle w:val="ListNumber"/>
      </w:pPr>
      <w:r>
        <w:t>Validate preconditions, resources, Treaty/privacy constraints, idempotency and recovery/compensation paths.</w:t>
      </w:r>
    </w:p>
    <w:p>
      <w:pPr>
        <w:pStyle w:val="ListNumber"/>
      </w:pPr>
      <w:r>
        <w:t>Authorize execution and perform dry run or simulation according to risk policy.</w:t>
      </w:r>
    </w:p>
    <w:p>
      <w:pPr>
        <w:pStyle w:val="ListNumber"/>
      </w:pPr>
      <w:r>
        <w:t>Execute attempts with durable journal entries, safe pause/resume and bounded retries; nested transactions inherit no broader authority and cannot commit past the parent barrier.</w:t>
      </w:r>
    </w:p>
    <w:p>
      <w:pPr>
        <w:pStyle w:val="ListNumber"/>
      </w:pPr>
      <w:r>
        <w:t>Before every irreversible effect, revalidate the explicit commit barrier and required approval.</w:t>
      </w:r>
    </w:p>
    <w:p>
      <w:pPr>
        <w:pStyle w:val="ListNumber"/>
      </w:pPr>
      <w:r>
        <w:t>Verify outcomes; complete, roll back truly reversible effects, compensate irreversible effects, recover, or await Owner.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Duplicate delivery: use idempotency keys and effect records to prevent duplicate reality changes.</w:t>
      </w:r>
    </w:p>
    <w:p>
      <w:pPr>
        <w:pStyle w:val="ListBullet"/>
      </w:pPr>
      <w:r>
        <w:t>Partial success: preserve completed effects and run declared compensation or Owner escalation.</w:t>
      </w:r>
    </w:p>
    <w:p>
      <w:pPr>
        <w:pStyle w:val="ListBullet"/>
      </w:pPr>
      <w:r>
        <w:t>Crash during commit: reconstruct from journal and external evidence; never assume success or failure.</w:t>
      </w:r>
    </w:p>
    <w:p>
      <w:pPr>
        <w:pStyle w:val="ListBullet"/>
      </w:pPr>
      <w:r>
        <w:t>Provider ambiguity: pause and verify real-world state before retry.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Every meaningful action has an explicit lifecycle and durable journal.</w:t>
      </w:r>
    </w:p>
    <w:p>
      <w:pPr>
        <w:pStyle w:val="ListBullet"/>
      </w:pPr>
      <w:r>
        <w:t>Rollback is used only where reality is reversible; otherwise HAL compensates honestly.</w:t>
      </w:r>
    </w:p>
    <w:p>
      <w:pPr>
        <w:pStyle w:val="ListBullet"/>
      </w:pPr>
      <w:r>
        <w:t>Retries never silently change original intent or broaden authority.</w:t>
      </w:r>
    </w:p>
    <w:p>
      <w:pPr>
        <w:pStyle w:val="ListBullet"/>
      </w:pPr>
      <w:r>
        <w:t>Completed status requires outcome verification, not merely provider success.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9, 16, 20–22, 25, 29, 35, 40, 50, 55–56.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