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17 — Verification and Simulation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 draft and review complete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Purpose</w:t>
      </w:r>
    </w:p>
    <w:p>
      <w:r>
        <w:t>Risk-scaled validation, simulation, shadow execution, canaries, and controlled reality establish evidence before change.</w:t>
      </w:r>
    </w:p>
    <w:p>
      <w:pPr>
        <w:pStyle w:val="Heading2"/>
      </w:pPr>
      <w:r>
        <w:t>Architecture</w:t>
      </w:r>
    </w:p>
    <w:p>
      <w:pPr>
        <w:pStyle w:val="ListBullet"/>
        <w:spacing w:after="60"/>
      </w:pPr>
      <w:r>
        <w:t>Uses typed, versioned, authenticated contracts and immutable evidence.</w:t>
      </w:r>
    </w:p>
    <w:p>
      <w:pPr>
        <w:pStyle w:val="ListBullet"/>
        <w:spacing w:after="60"/>
      </w:pPr>
      <w:r>
        <w:t>Pins policy, identity, authority, time, and correlation context to consequential work.</w:t>
      </w:r>
    </w:p>
    <w:p>
      <w:pPr>
        <w:pStyle w:val="ListBullet"/>
        <w:spacing w:after="60"/>
      </w:pPr>
      <w:r>
        <w:t>Separates authoritative state from derived views and preserves recovery paths.</w:t>
      </w:r>
    </w:p>
    <w:p>
      <w:pPr>
        <w:pStyle w:val="Heading2"/>
      </w:pPr>
      <w:r>
        <w:t>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Guarantee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Command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Authorized, auditable, idempotent where applicable.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Query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Declared consistency and privacy scope.</w:t>
            </w:r>
          </w:p>
        </w:tc>
      </w:tr>
      <w:tr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</w:t>
            </w:r>
          </w:p>
        </w:tc>
        <w:tc>
          <w:tcPr>
            <w:tcW w:type="dxa" w:w="48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Immutable provenance, causation, and integrity metadata.</w:t>
            </w:r>
          </w:p>
        </w:tc>
      </w:tr>
    </w:tbl>
    <w:p>
      <w:pPr>
        <w:pStyle w:val="Heading2"/>
      </w:pPr>
      <w:r>
        <w:t>Guarantees</w:t>
      </w:r>
    </w:p>
    <w:p>
      <w:pPr>
        <w:pStyle w:val="ListBullet"/>
        <w:spacing w:after="60"/>
      </w:pPr>
      <w:r>
        <w:t>No capability, provider, trust score, or external domain receives authority by implication.</w:t>
      </w:r>
    </w:p>
    <w:p>
      <w:pPr>
        <w:pStyle w:val="ListBullet"/>
        <w:spacing w:after="60"/>
      </w:pPr>
      <w:r>
        <w:t>Failure degrades capability visibly and never silently changes constitutional rules.</w:t>
      </w:r>
    </w:p>
    <w:p>
      <w:pPr>
        <w:pStyle w:val="ListBullet"/>
        <w:spacing w:after="60"/>
      </w:pPr>
      <w:r>
        <w:t>Every meaningful outcome is explainable through evidence, policy, authorization, and audit.</w:t>
      </w:r>
    </w:p>
    <w:p>
      <w:pPr>
        <w:pStyle w:val="Heading2"/>
      </w:pPr>
      <w:r>
        <w:t>Review</w:t>
      </w:r>
    </w:p>
    <w:p>
      <w:r>
        <w:t>Constitutional and engineering review found no unresolved conflict or Owner-level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037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26344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