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17 — Verification and Simulation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0.3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Accumulate risk-proportionate evidence before changing reality and continuously verify critical recovery paths.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28, 35, 43, 47, 50–51, 55–56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Accumulate risk-proportionate evidence before changing reality and continuously verify critical recovery paths.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Verification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Verification Plans, Records, thresholds and disposition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Simulation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Isolated models and simulated environments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Digital Twin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Living model of topology, services, policies, trust, resources, intent and failure modes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Reality Boundary Controller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Simulation, shadow, test, canary, production, recovery and emergency separation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Verification Plan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Risk class, applicable levels, evidence required, budget, authority and stopping rules.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Verification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Inputs, environment, tests, results, fidelity, confidence, signatures and reproducibility.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Simulation Fidelity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Coverage, accuracy, missing variables, limitations and historical predictive success.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Canary/Shadow Observation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Scope, comparison baseline, drift, health and rollback trigger.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Classify the proposed change by consequence and reversibility.</w:t>
      </w:r>
    </w:p>
    <w:p>
      <w:pPr>
        <w:pStyle w:val="ListNumber"/>
      </w:pPr>
      <w:r>
        <w:t>Run static validation for syntax, permissions, dependencies, signatures and compatibility.</w:t>
      </w:r>
    </w:p>
    <w:p>
      <w:pPr>
        <w:pStyle w:val="ListNumber"/>
      </w:pPr>
      <w:r>
        <w:t>Use simulation and Digital Twin scenarios; score fidelity rather than treating all simulations equally.</w:t>
      </w:r>
    </w:p>
    <w:p>
      <w:pPr>
        <w:pStyle w:val="ListNumber"/>
      </w:pPr>
      <w:r>
        <w:t>Inject bounded failures and evaluate counterfactual alternatives inside the isolated Reality Boundary.</w:t>
      </w:r>
    </w:p>
    <w:p>
      <w:pPr>
        <w:pStyle w:val="ListNumber"/>
      </w:pPr>
      <w:r>
        <w:t>Run shadow execution without control and compare predictions with reality.</w:t>
      </w:r>
    </w:p>
    <w:p>
      <w:pPr>
        <w:pStyle w:val="ListNumber"/>
      </w:pPr>
      <w:r>
        <w:t>Deploy canary or controlled reality with bounded blast radius and automatic rollback where valid.</w:t>
      </w:r>
    </w:p>
    <w:p>
      <w:pPr>
        <w:pStyle w:val="ListNumber"/>
      </w:pPr>
      <w:r>
        <w:t>Adopt fully only after evidence and required Owner authorization; continue post-change verification.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Simulation leaks toward reality: Reality Boundary blocks the effect and raises a constitutional incident.</w:t>
      </w:r>
    </w:p>
    <w:p>
      <w:pPr>
        <w:pStyle w:val="ListBullet"/>
      </w:pPr>
      <w:r>
        <w:t>Low fidelity: reduce confidence and require stronger real-world evidence.</w:t>
      </w:r>
    </w:p>
    <w:p>
      <w:pPr>
        <w:pStyle w:val="ListBullet"/>
      </w:pPr>
      <w:r>
        <w:t>Canary degradation: stop expansion and rollback or recover according to transaction policy.</w:t>
      </w:r>
    </w:p>
    <w:p>
      <w:pPr>
        <w:pStyle w:val="ListBullet"/>
      </w:pPr>
      <w:r>
        <w:t>Verification service unavailable: protected or high-risk change does not proceed.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HAL earns confidence through verification before changing reality.</w:t>
      </w:r>
    </w:p>
    <w:p>
      <w:pPr>
        <w:pStyle w:val="ListBullet"/>
      </w:pPr>
      <w:r>
        <w:t>Simulation informs authority but never replaces it.</w:t>
      </w:r>
    </w:p>
    <w:p>
      <w:pPr>
        <w:pStyle w:val="ListBullet"/>
      </w:pPr>
      <w:r>
        <w:t>Every important verification is reproducible and permanently recorded.</w:t>
      </w:r>
    </w:p>
    <w:p>
      <w:pPr>
        <w:pStyle w:val="ListBullet"/>
      </w:pPr>
      <w:r>
        <w:t>Verification burden scales with risk; urgency cannot remove constitutional authorization.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28, 35, 43, 47, 50–51, 55–56. The v0.2 rewrite restores the source-specific objects, workflows and guarantees missing from v0.1. Final disposition is recorded in the separate source-alignment and constitutional-audit reports.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Embedded author approval is not conformance evidence. This chapter's constitutional status is determined only by the independent whole-book audit.</w:t>
      </w:r>
    </w:p>
    <w:p>
      <w:pPr>
        <w:pStyle w:val="ListBullet"/>
        <w:keepLines/>
      </w:pPr>
      <w:r>
        <w:t>No substantive constitutional or cross-chapter correction was required in this edition.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0.3</cp:version>
</cp:coreProperties>
</file>