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— Trust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Evaluate how much evidence and sources should be relied upon in a particular domain without allowing trust to become permission or authority.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13–14, 22, 26–29, 34, 40, 53,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Evaluate how much evidence and sources should be relied upon in a particular domain without allowing trust to become permission or authority.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Evidence Objects, custody, signatures and verification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Domain-specific multidimensional trust evaluations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Reputation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Outcome-based source history, calibration and decay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Conflict sets, materiality and evidence-seeking recommendations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 identity, observation, timestamp, domain, confidence, custody, signature, expiration and verification.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Reliability, accuracy, recency, consistency, transparency, verifiability and health by domain.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Conclusion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supporting/contradicting evidence, weights, assumptions, confidence and explanation.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Reputation Update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Prediction, outcome, scoring rule, prior/new state and anti-manipulation checks.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Ingest an observation as evidence rather than unqualified truth.</w:t>
      </w:r>
    </w:p>
    <w:p>
      <w:pPr>
        <w:pStyle w:val="ListNumber"/>
      </w:pPr>
      <w:r>
        <w:t>Verify identity, integrity, custody, domain and freshness.</w:t>
      </w:r>
    </w:p>
    <w:p>
      <w:pPr>
        <w:pStyle w:val="ListNumber"/>
      </w:pPr>
      <w:r>
        <w:t>Evaluate source trust dimensions for the relevant question; never use one global score.</w:t>
      </w:r>
    </w:p>
    <w:p>
      <w:pPr>
        <w:pStyle w:val="ListNumber"/>
      </w:pPr>
      <w:r>
        <w:t>Maintain competing conclusions and explicit contradictions.</w:t>
      </w:r>
    </w:p>
    <w:p>
      <w:pPr>
        <w:pStyle w:val="ListNumber"/>
      </w:pPr>
      <w:r>
        <w:t>Seek additional evidence when conflict or consequence exceeds policy threshold.</w:t>
      </w:r>
    </w:p>
    <w:p>
      <w:pPr>
        <w:pStyle w:val="ListNumber"/>
      </w:pPr>
      <w:r>
        <w:t>Create an explainable conclusion and update reputation only after observable outcomes.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Stale evidence: decay relevance according to evidence type, not arbitrary deletion.</w:t>
      </w:r>
    </w:p>
    <w:p>
      <w:pPr>
        <w:pStyle w:val="ListBullet"/>
      </w:pPr>
      <w:r>
        <w:t>Source compromise or sensor drift: reduce health/trust and quarantine if warranted.</w:t>
      </w:r>
    </w:p>
    <w:p>
      <w:pPr>
        <w:pStyle w:val="ListBullet"/>
      </w:pPr>
      <w:r>
        <w:t>Conflicting trusted sources: preserve dissent and escalate or seek evidence.</w:t>
      </w:r>
    </w:p>
    <w:p>
      <w:pPr>
        <w:pStyle w:val="ListBullet"/>
      </w:pPr>
      <w:r>
        <w:t>Owner override: record as new evidence; do not rewrite history or instantly alter reputation.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Evidence precedes belief; trust informs decisions; authority governs actions.</w:t>
      </w:r>
    </w:p>
    <w:p>
      <w:pPr>
        <w:pStyle w:val="ListBullet"/>
      </w:pPr>
      <w:r>
        <w:t>Trust is multidimensional, domain-specific and independent from permission.</w:t>
      </w:r>
    </w:p>
    <w:p>
      <w:pPr>
        <w:pStyle w:val="ListBullet"/>
      </w:pPr>
      <w:r>
        <w:t>Conflicting evidence is never silently resolved.</w:t>
      </w:r>
    </w:p>
    <w:p>
      <w:pPr>
        <w:pStyle w:val="ListBullet"/>
      </w:pPr>
      <w:r>
        <w:t>Every consequential conclusion explains support, contradiction, assumptions and confidence.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13–14, 22, 26–29, 34, 40, 53, 56.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Evidence Service is the semantic owner of Evidence Objects, custody, signatures, and verification state.</w:t>
      </w:r>
    </w:p>
    <w:p>
      <w:pPr>
        <w:pStyle w:val="ListBullet"/>
        <w:keepLines/>
      </w:pPr>
      <w:r>
        <w:t>Observability systems may produce evidence candidates and projections but cannot mutate evidentiary meaning or trust conclusions.</w:t>
      </w:r>
    </w:p>
    <w:p>
      <w:pPr>
        <w:pStyle w:val="ListBullet"/>
        <w:keepLines/>
      </w:pPr>
      <w:r>
        <w:t>The Audit Ledger owns protected action and access audit, not general Evidence Objects.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