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— Privacy and Data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Apply privacy, visibility, purpose limitation and data stewardship consistently across memory, audit, Presences and external trust domains.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Articles I, VI, XII; Decisions 27, 30, 32, 39–40, 42, 45, 48–49, 52,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Apply privacy, visibility, purpose limitation and data stewardship consistently across memory, audit, Presences and external trust domains.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Governance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Classification, ownership, purpose, retention and handling policy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Privacy Policy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Disclosure and processing decisions for current identity, audience and purpose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 references, rotation, revocation and audited access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Retention/Deletion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lifecycle, legal/constitutional holds and protected deletion transactions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Classification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Sensitivity, owner, visibility, permitted purposes, locations and retention class.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Consent/Authority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scope, purpose, duration, revocation and policy basis.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Disclosure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Sender, recipient/domain, purpose, fields, redactions, Treaty and authorization.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Retention Disposition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Keep, cool, archive, compress, expire access, or protected delete with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information at creation or ingestion and identify ownership/visibility.</w:t>
      </w:r>
    </w:p>
    <w:p>
      <w:pPr>
        <w:pStyle w:val="ListNumber"/>
      </w:pPr>
      <w:r>
        <w:t>Limit collection and retrieval to the approved purpose and minimum necessary data.</w:t>
      </w:r>
    </w:p>
    <w:p>
      <w:pPr>
        <w:pStyle w:val="ListNumber"/>
      </w:pPr>
      <w:r>
        <w:t>Evaluate identity, authority, audience, Presence, environment and Treaty before disclosure.</w:t>
      </w:r>
    </w:p>
    <w:p>
      <w:pPr>
        <w:pStyle w:val="ListNumber"/>
      </w:pPr>
      <w:r>
        <w:t>Encrypt data at rest and in transit; use end-to-end protection for sensitive participants.</w:t>
      </w:r>
    </w:p>
    <w:p>
      <w:pPr>
        <w:pStyle w:val="ListNumber"/>
      </w:pPr>
      <w:r>
        <w:t>Apply retention and archive policy while preserving constitutional evidence requirements.</w:t>
      </w:r>
    </w:p>
    <w:p>
      <w:pPr>
        <w:pStyle w:val="ListNumber"/>
      </w:pPr>
      <w:r>
        <w:t>Execute protected deletion only through authorized, auditable transactions and record lawful residual obligations.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Classification unknown: default to restricted handling pending review.</w:t>
      </w:r>
    </w:p>
    <w:p>
      <w:pPr>
        <w:pStyle w:val="ListBullet"/>
      </w:pPr>
      <w:r>
        <w:t>Identity/audience uncertain: reduce disclosure, never broaden it.</w:t>
      </w:r>
    </w:p>
    <w:p>
      <w:pPr>
        <w:pStyle w:val="ListBullet"/>
      </w:pPr>
      <w:r>
        <w:t>External service requires plaintext: treat as an explicit disclosure boundary and enforce Treaty/purpose limits.</w:t>
      </w:r>
    </w:p>
    <w:p>
      <w:pPr>
        <w:pStyle w:val="ListBullet"/>
      </w:pPr>
      <w:r>
        <w:t>Audit request conflicts with privacy: provide minimized, field-protected access and record the access.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Privacy follows identity, purpose, audience and domain—not convenience.</w:t>
      </w:r>
    </w:p>
    <w:p>
      <w:pPr>
        <w:pStyle w:val="ListBullet"/>
      </w:pPr>
      <w:r>
        <w:t>Transparency reveals system behavior without needlessly exposing people.</w:t>
      </w:r>
    </w:p>
    <w:p>
      <w:pPr>
        <w:pStyle w:val="ListBullet"/>
      </w:pPr>
      <w:r>
        <w:t>Secrets enable bounded action but never ambient authority.</w:t>
      </w:r>
    </w:p>
    <w:p>
      <w:pPr>
        <w:pStyle w:val="ListBullet"/>
      </w:pPr>
      <w:r>
        <w:t>External encryption does not imply privacy from the external provider.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Articles I, VI, XII; Decisions 27, 30, 32, 39–40, 42, 45, 48–49, 52, 56.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