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19 — Privacy and Data Governance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Revised after whole-book constitutional and cross-chapter audit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0.3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Apply privacy, visibility, purpose limitation and data stewardship consistently across memory, audit, Presences and external trust domains.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Articles I, VI, XII; Decisions 27, 30, 32, 39–40, 42, 45, 48–49, 52, 56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unresolved Owner decision after whole-book audit</w:t>
            </w:r>
          </w:p>
        </w:tc>
      </w:tr>
    </w:tbl>
    <w:p>
      <w:pPr>
        <w:pStyle w:val="Heading2"/>
      </w:pPr>
      <w:r>
        <w:t>1. Purpose</w:t>
      </w:r>
    </w:p>
    <w:p>
      <w:r>
        <w:t>Apply privacy, visibility, purpose limitation and data stewardship consistently across memory, audit, Presences and external trust domains.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 Governance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Classification, ownership, purpose, retention and handling policy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Privacy Policy Evaluator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Disclosure and processing decisions for current identity, audience and purpose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Secrets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Secret references, rotation, revocation and audited access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Retention/Deletion Coordinator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Policy lifecycle, legal/constitutional holds and protected deletion transactions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 Classification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Sensitivity, owner, visibility, permitted purposes, locations and retention class.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Consent/Authority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Identity, scope, purpose, duration, revocation and policy basis.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Disclosure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Sender, recipient/domain, purpose, fields, redactions, Treaty and authorization.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Retention Disposition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Keep, cool, archive, compress, expire access, or protected delete with evidence.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Classify information at creation or ingestion and identify ownership/visibility.</w:t>
      </w:r>
    </w:p>
    <w:p>
      <w:pPr>
        <w:pStyle w:val="ListNumber"/>
      </w:pPr>
      <w:r>
        <w:t>Limit collection and retrieval to the approved purpose and minimum necessary data.</w:t>
      </w:r>
    </w:p>
    <w:p>
      <w:pPr>
        <w:pStyle w:val="ListNumber"/>
      </w:pPr>
      <w:r>
        <w:t>Evaluate identity, authority, audience, Presence, environment and Treaty before disclosure.</w:t>
      </w:r>
    </w:p>
    <w:p>
      <w:pPr>
        <w:pStyle w:val="ListNumber"/>
      </w:pPr>
      <w:r>
        <w:t>Encrypt data at rest and in transit; use end-to-end protection for sensitive participants.</w:t>
      </w:r>
    </w:p>
    <w:p>
      <w:pPr>
        <w:pStyle w:val="ListNumber"/>
      </w:pPr>
      <w:r>
        <w:t>Apply retention and archive policy while preserving constitutional evidence requirements.</w:t>
      </w:r>
    </w:p>
    <w:p>
      <w:pPr>
        <w:pStyle w:val="ListNumber"/>
      </w:pPr>
      <w:r>
        <w:t>Execute protected deletion only through the Owner Authorization Ceremony and an auditable transaction: cryptographically erase the protected payload, delete non-authoritative copies, and preserve the immutable event sequence and minimal tombstone.</w:t>
      </w:r>
    </w:p>
    <w:p>
      <w:pPr>
        <w:pStyle w:val="Heading2"/>
      </w:pPr>
      <w:r>
        <w:t>5. Interfaces and Contracts</w:t>
      </w:r>
    </w:p>
    <w:p>
      <w:r>
        <w:t>All commands, queries and events are typed, versioned, authenticated and correlated. Commands request mutation from the authoritative owner; queries declare consistency and privacy scope; immutable events record completed facts with identity, causation, authorization, provenance and integrity metadata.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Classification unknown: default to restricted handling pending review.</w:t>
      </w:r>
    </w:p>
    <w:p>
      <w:pPr>
        <w:pStyle w:val="ListBullet"/>
      </w:pPr>
      <w:r>
        <w:t>Identity/audience uncertain: reduce disclosure, never broaden it.</w:t>
      </w:r>
    </w:p>
    <w:p>
      <w:pPr>
        <w:pStyle w:val="ListBullet"/>
      </w:pPr>
      <w:r>
        <w:t>External service requires plaintext: treat as an explicit disclosure boundary and enforce Treaty/purpose limits.</w:t>
      </w:r>
    </w:p>
    <w:p>
      <w:pPr>
        <w:pStyle w:val="ListBullet"/>
      </w:pPr>
      <w:r>
        <w:t>Audit request conflicts with privacy: provide minimized, field-protected access and record the access.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Privacy follows identity, purpose, audience and domain—not convenience.</w:t>
      </w:r>
    </w:p>
    <w:p>
      <w:pPr>
        <w:pStyle w:val="ListBullet"/>
      </w:pPr>
      <w:r>
        <w:t>Transparency reveals system behavior without needlessly exposing people.</w:t>
      </w:r>
    </w:p>
    <w:p>
      <w:pPr>
        <w:pStyle w:val="ListBullet"/>
      </w:pPr>
      <w:r>
        <w:t>Secrets enable bounded action but never ambient authority.</w:t>
      </w:r>
    </w:p>
    <w:p>
      <w:pPr>
        <w:pStyle w:val="ListBullet"/>
      </w:pPr>
      <w:r>
        <w:t>External encryption does not imply privacy from the external provider.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authority, reinterpret Owner intent, erase dissent, or treat a derived projection as authoritative state.</w:t>
      </w:r>
    </w:p>
    <w:p>
      <w:pPr>
        <w:pStyle w:val="ListBullet"/>
      </w:pPr>
      <w:r>
        <w:t>No degraded dependency may silently change policy, identity, trust, authentication, verification or evidence requirements.</w:t>
      </w:r>
    </w:p>
    <w:p>
      <w:pPr>
        <w:pStyle w:val="ListBullet"/>
      </w:pPr>
      <w:r>
        <w:t>No provider, model, node, Presence, secret, relationship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correlation, identity, policy/authority context, state versions, decisions, limitations, failures, recovery and outcomes. Verification is risk-scaled and produces durable evidence. Status reporting is derived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directly implements Articles I, VI, XII; Decisions 27, 30, 32, 39–40, 42, 45, 48–49, 52, 56. The v0.2 rewrite restores the source-specific objects, workflows and guarantees missing from v0.1. Final disposition is recorded in the separate source-alignment and constitutional-audit reports.</w:t>
      </w:r>
    </w:p>
    <w:p>
      <w:pPr>
        <w:pStyle w:val="Heading2"/>
        <w:keepNext/>
      </w:pPr>
      <w:r>
        <w:t>Whole-Book Audit Resolution</w:t>
      </w:r>
    </w:p>
    <w:p>
      <w:pPr>
        <w:keepNext/>
      </w:pPr>
      <w:r>
        <w:t>The following requirements supersede any ambiguous earlier wording in this chapter and are incorporated into this edition:</w:t>
      </w:r>
    </w:p>
    <w:p>
      <w:pPr>
        <w:pStyle w:val="ListBullet"/>
        <w:keepLines/>
      </w:pPr>
      <w:r>
        <w:t>Protected deletion balances privacy with historical integrity by making authorized content unrecoverable while preserving proof that an event and lawful deletion occurred.</w:t>
      </w:r>
    </w:p>
    <w:p>
      <w:pPr>
        <w:pStyle w:val="ListBullet"/>
        <w:keepLines/>
      </w:pPr>
      <w:r>
        <w:t>No retention policy may silently remove an Experience Object identity, sequence position, or deletion tombstone.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Revised after full Book II constitutional and cross-chapter audit.</dc:description>
  <cp:lastModifiedBy/>
  <cp:revision>1</cp:revision>
  <dcterms:created xsi:type="dcterms:W3CDTF">2013-12-23T23:15:00Z</dcterms:created>
  <dcterms:modified xsi:type="dcterms:W3CDTF">2013-12-23T23:15:00Z</dcterms:modified>
  <cp:category/>
  <cp:version>0.3</cp:version>
</cp:coreProperties>
</file>