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20 — Constitutional Firewall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Mediate every exchange with an External Trust Domain so collaboration expands capability without transferring constitutional authority or uncontrolled data.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26–27, 32, 36, 39–40, 48–50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Mediate every exchange with an External Trust Domain so collaboration expands capability without transferring constitutional authority or uncontrolled data.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identity, scope, lifecycle, renewal, revocation and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Firewall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Ingress/egress validation, redaction, authorization and audit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External Domain Registry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 identity, authentication, capabilities, trust and active Treaties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Cross-Domain Monitor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Exchange health, policy drift, incidents and revocation signals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Parties, purpose, capabilities, data scope, authentication, privacy, duration, renewal, revocation and audit.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Exchange Envelope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Sender/recipient, Treaty, intent, classification, provenance, authorization, replay protection and expiry.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Redaction Decision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Requested fields, permitted fields, removals, rationale and policy version.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 Incident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Violation, affected exchanges, containment, evidence, notification and recovery.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Authenticate the external domain and resolve an active Treaty for the requested purpose.</w:t>
      </w:r>
    </w:p>
    <w:p>
      <w:pPr>
        <w:pStyle w:val="ListNumber"/>
      </w:pPr>
      <w:r>
        <w:t>Validate that the capability class was Owner-approved and the specific provider/domain is permitted.</w:t>
      </w:r>
    </w:p>
    <w:p>
      <w:pPr>
        <w:pStyle w:val="ListNumber"/>
      </w:pPr>
      <w:r>
        <w:t>Evaluate sender authority, data classification, purpose, requested fields and recipient rights.</w:t>
      </w:r>
    </w:p>
    <w:p>
      <w:pPr>
        <w:pStyle w:val="ListNumber"/>
      </w:pPr>
      <w:r>
        <w:t>Minimize/redact egress data and verify ingress provenance, integrity, schema and allowed meaning.</w:t>
      </w:r>
    </w:p>
    <w:p>
      <w:pPr>
        <w:pStyle w:val="ListNumber"/>
      </w:pPr>
      <w:r>
        <w:t>Bind the exchange to a transaction or communication object and record audit metadata.</w:t>
      </w:r>
    </w:p>
    <w:p>
      <w:pPr>
        <w:pStyle w:val="ListNumber"/>
      </w:pPr>
      <w:r>
        <w:t>Revoke, expire or suspend exchanges immediately when Treaty, identity or integrity conditions fail.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No Treaty or expired Treaty: deny the exchange; local capability availability is irrelevant.</w:t>
      </w:r>
    </w:p>
    <w:p>
      <w:pPr>
        <w:pStyle w:val="ListBullet"/>
      </w:pPr>
      <w:r>
        <w:t>Provenance failure: quarantine incoming evidence and prevent state mutation.</w:t>
      </w:r>
    </w:p>
    <w:p>
      <w:pPr>
        <w:pStyle w:val="ListBullet"/>
      </w:pPr>
      <w:r>
        <w:t>Overbroad data request: redact or deny; never infer consent from prior collaboration.</w:t>
      </w:r>
    </w:p>
    <w:p>
      <w:pPr>
        <w:pStyle w:val="ListBullet"/>
      </w:pPr>
      <w:r>
        <w:t>External compromise: revoke credentials/Treaty access, preserve evidence and contain affected transactions.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remains constitutionally sovereign in every federation.</w:t>
      </w:r>
    </w:p>
    <w:p>
      <w:pPr>
        <w:pStyle w:val="ListBullet"/>
      </w:pPr>
      <w:r>
        <w:t>Cooperation expands capability and never transfers authority.</w:t>
      </w:r>
    </w:p>
    <w:p>
      <w:pPr>
        <w:pStyle w:val="ListBullet"/>
      </w:pPr>
      <w:r>
        <w:t>Every cross-domain exchange is authenticated, authorized, minimized, provenance-checked and auditable.</w:t>
      </w:r>
    </w:p>
    <w:p>
      <w:pPr>
        <w:pStyle w:val="ListBullet"/>
      </w:pPr>
      <w:r>
        <w:t>Treaty approval and capability-class approval are distinct protected decisions.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26–27, 32, 36, 39–40, 48–50.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Chapter 21's Treaty Manager is the sole owner of Treaty proposal, approval, lifecycle, and history.</w:t>
      </w:r>
    </w:p>
    <w:p>
      <w:pPr>
        <w:pStyle w:val="ListBullet"/>
        <w:keepLines/>
      </w:pPr>
      <w:r>
        <w:t>The Constitutional Firewall owns exchange enforcement, redaction, ingress/egress validation, and cross-domain incident records and consumes signed Treaty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