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21 — External Trust Domains and Treaties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 external organizations, services, people, and peer HAL systems as separate trust domains whose collaboration is limited by explicit Owner-approved Treaties.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27, 32, 36, 39–40, 48–50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Represent external organizations, services, people, and peer HAL systems as separate trust domains whose collaboration is limited by explicit Owner-approved Treaties.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Domain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 identity, authentication methods, capabilities, trust evidence, incidents, and current status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proposal, protected approval, activation, renewal, suspension, revocation, and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Federation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cross-domain collaboration and shared-work context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Policy 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capability, data, duration, privacy, audit, and recipient constraints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Trust Domain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type, endpoints, authentication, capabilities, trust profile, incidents, and sovereignty boundary.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Parties, approved purpose, capabilities, data scope, authentication, privacy, duration, renewal, revocation, and audit.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Federation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Treaty, participants, task, delegated authority, exchanged objects, expiration, and outcome.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Review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use, compliance, incidents, drift, continuing need, and Owner disposition.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Register and authenticate the external domain without inheriting trust from network location or brand.</w:t>
      </w:r>
    </w:p>
    <w:p>
      <w:pPr>
        <w:pStyle w:val="ListNumber"/>
      </w:pPr>
      <w:r>
        <w:t>Confirm that the required capability class has already received protected Owner approval.</w:t>
      </w:r>
    </w:p>
    <w:p>
      <w:pPr>
        <w:pStyle w:val="ListNumber"/>
      </w:pPr>
      <w:r>
        <w:t>Draft a Treaty with the minimum purpose, capabilities, data, duration, and authority needed.</w:t>
      </w:r>
    </w:p>
    <w:p>
      <w:pPr>
        <w:pStyle w:val="ListNumber"/>
      </w:pPr>
      <w:r>
        <w:t>Present the exact Treaty through the Owner Authorization Ceremony; conversational agreement is not activation.</w:t>
      </w:r>
    </w:p>
    <w:p>
      <w:pPr>
        <w:pStyle w:val="ListNumber"/>
      </w:pPr>
      <w:r>
        <w:t>Activate federation only after authorization and Constitutional Firewall validation.</w:t>
      </w:r>
    </w:p>
    <w:p>
      <w:pPr>
        <w:pStyle w:val="ListNumber"/>
      </w:pPr>
      <w:r>
        <w:t>Continuously monitor use, provenance, disclosure, expiry, drift, and incidents.</w:t>
      </w:r>
    </w:p>
    <w:p>
      <w:pPr>
        <w:pStyle w:val="ListNumber"/>
      </w:pPr>
      <w:r>
        <w:t>Renew, narrow, suspend, or revoke through explicit governed lifecycle transitions.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Unknown or unverifiable domain: deny federation and retain the proposal as inactive.</w:t>
      </w:r>
    </w:p>
    <w:p>
      <w:pPr>
        <w:pStyle w:val="ListBullet"/>
      </w:pPr>
      <w:r>
        <w:t>Treaty expiry or revocation: stop new exchanges and contain in-flight transactions at safe boundaries.</w:t>
      </w:r>
    </w:p>
    <w:p>
      <w:pPr>
        <w:pStyle w:val="ListBullet"/>
      </w:pPr>
      <w:r>
        <w:t>Provider changes terms or data use: mark material drift and require a fresh Treaty decision.</w:t>
      </w:r>
    </w:p>
    <w:p>
      <w:pPr>
        <w:pStyle w:val="ListBullet"/>
      </w:pPr>
      <w:r>
        <w:t>Peer HAL disagrees: preserve independent sovereignty and treat its claims as external evidence.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Federation is cooperation, never merger of identity, memory, authority, or Constitution.</w:t>
      </w:r>
    </w:p>
    <w:p>
      <w:pPr>
        <w:pStyle w:val="ListBullet"/>
      </w:pPr>
      <w:r>
        <w:t>Every active Treaty is exact, time-bounded, revocable, auditable, and Owner-authorized.</w:t>
      </w:r>
    </w:p>
    <w:p>
      <w:pPr>
        <w:pStyle w:val="ListBullet"/>
      </w:pPr>
      <w:r>
        <w:t>Capability-class approval and provider/domain Treaty approval are separate protected decisions.</w:t>
      </w:r>
    </w:p>
    <w:p>
      <w:pPr>
        <w:pStyle w:val="ListBullet"/>
      </w:pPr>
      <w:r>
        <w:t>No external participant may acquire constitutional authority through usefulness, trust, or repeated access.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27, 32, 36, 39–40, 48–50.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Treaty Manager in this chapter is the sole authoritative owner of Treaty lifecycle state.</w:t>
      </w:r>
    </w:p>
    <w:p>
      <w:pPr>
        <w:pStyle w:val="ListBullet"/>
        <w:keepLines/>
      </w:pPr>
      <w:r>
        <w:t>The Chapter 20 Constitutional Firewall consumes signed Treaty decisions and cannot create, renew, or revoke a Treaty independently.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