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22 — Distributed Coordination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Coordinate one authoritative HAL identity across HAL Core and participating node runtimes while preserving constitutional consistency during failure, recovery, and partition.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17–24, 29, 37–38, 41–42, 47, 51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Coordinate one authoritative HAL identity across HAL Core and participating node runtimes while preserving constitutional consistency during failure, recovery, and partition.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Cluster Coordinator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Membership, roles, topology, health, work placement, and rejoin orchestration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Lease Authority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Single active constitutional lease and term history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Distributed Scheduler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Capability- and health-aware assignment within policy and resource budgets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Reconciliation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Partition evidence, state comparison, transaction replay, and safe convergence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Independent Attestors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Integrity observations without constitutional control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Node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Identity, role, capabilities, software/configuration versions, health, trust, workload, and partition state.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Lease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Holder, term, issue/expiry, quorum evidence, policy version, and revocation.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 Assignment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Intent, capability, authority, resources, node, deadline, retry, and result provenance.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Partition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Affected nodes, last contact, delegated authority, restricted mode, evidence, and reconciliation state.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Rejoin Plan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Identity/integrity checks, missed evidence, state synchronization, health gates, and staged restoration.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Authenticate a joining node and verify hardware/software integrity before accepting capability claims.</w:t>
      </w:r>
    </w:p>
    <w:p>
      <w:pPr>
        <w:pStyle w:val="ListNumber"/>
      </w:pPr>
      <w:r>
        <w:t>Register capabilities, health, configuration, policy version, locality, and resource limits.</w:t>
      </w:r>
    </w:p>
    <w:p>
      <w:pPr>
        <w:pStyle w:val="ListNumber"/>
      </w:pPr>
      <w:r>
        <w:t>Assign dynamic task roles without making any compute node the constitutional Owner.</w:t>
      </w:r>
    </w:p>
    <w:p>
      <w:pPr>
        <w:pStyle w:val="ListNumber"/>
      </w:pPr>
      <w:r>
        <w:t>Require the active Core to hold a valid constitutional lease before canonical mutation.</w:t>
      </w:r>
    </w:p>
    <w:p>
      <w:pPr>
        <w:pStyle w:val="ListNumber"/>
      </w:pPr>
      <w:r>
        <w:t>Restrict disconnected nodes to explicitly delegated local work and evidence collection.</w:t>
      </w:r>
    </w:p>
    <w:p>
      <w:pPr>
        <w:pStyle w:val="ListNumber"/>
      </w:pPr>
      <w:r>
        <w:t>On reconnection, compare journals and canonical versions before replay or reconciliation.</w:t>
      </w:r>
    </w:p>
    <w:p>
      <w:pPr>
        <w:pStyle w:val="ListNumber"/>
      </w:pPr>
      <w:r>
        <w:t>Return a node gradually after identity, integrity, policy, trust, state, and health validation.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Lease uncertainty: stop canonical mutation and preserve identity consistency over availability.</w:t>
      </w:r>
    </w:p>
    <w:p>
      <w:pPr>
        <w:pStyle w:val="ListBullet"/>
      </w:pPr>
      <w:r>
        <w:t>Split brain: only the valid lease holder may govern; isolated partitions enter restricted mode.</w:t>
      </w:r>
    </w:p>
    <w:p>
      <w:pPr>
        <w:pStyle w:val="ListBullet"/>
      </w:pPr>
      <w:r>
        <w:t>Byzantine or compromised node: quarantine it and disregard unverified state while preserving evidence.</w:t>
      </w:r>
    </w:p>
    <w:p>
      <w:pPr>
        <w:pStyle w:val="ListBullet"/>
      </w:pPr>
      <w:r>
        <w:t>Coordinator failure: recover coordination from durable membership, lease, and transaction records.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HAL is one intelligence across cooperating nodes, never competing constitutional instances.</w:t>
      </w:r>
    </w:p>
    <w:p>
      <w:pPr>
        <w:pStyle w:val="ListBullet"/>
      </w:pPr>
      <w:r>
        <w:t>Dynamic leadership applies to execution tasks, not constitutional governance.</w:t>
      </w:r>
    </w:p>
    <w:p>
      <w:pPr>
        <w:pStyle w:val="ListBullet"/>
      </w:pPr>
      <w:r>
        <w:t>Partitions may reduce capability but cannot create new authority or canonical state.</w:t>
      </w:r>
    </w:p>
    <w:p>
      <w:pPr>
        <w:pStyle w:val="ListBullet"/>
      </w:pPr>
      <w:r>
        <w:t>Rejoining is earned through evidence and staged verification, never assumed from prior membership.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Decisions 17–24, 29, 37–38, 41–42, 47, 51. Final source-alignment and constitutional disposition is recorded in the batch audit reports; embedded approval text is not treated as review evidence.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A recovery constitutional lease may be issued only to a pre-registered, independently attested successor after the prior lease has provably expired and the required quorum agrees on the latest valid constitutional state.</w:t>
      </w:r>
    </w:p>
    <w:p>
      <w:pPr>
        <w:pStyle w:val="ListBullet"/>
        <w:keepLines/>
      </w:pPr>
      <w:r>
        <w:t>Every recovery lease has a hard maximum duration of 24 hours. Any extension requires fresh Owner authorization bound to the exact successor, constitutional state, lease identifier, and duration; expiry ends protected canonical mutation and returns the successor to Restricted or Safe Recovery mode. Permanent Primary Constitutional Host reassignment requires the Owner Authorization Ceremony.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0.2</cp:version>
</cp:coreProperties>
</file>