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23 — Event and Messaging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 typed, secure, traceable communication for commands, queries, events, streams, and persistent collaboration across HAL identities.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3–4, 23, 27, 32, 39–40, 44, 49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Provide typed, secure, traceable communication for commands, queries, events, streams, and persistent collaboration across HAL identities.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Communication Protocol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Message semantics, envelopes, versioning, identity, intent, provenance, and security metadata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 Fabric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Point-to-point, publish/subscribe, request/response, streaming, deferred delivery, and replay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Thread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Correlation, participants, conversation state, decisions, questions, and continuation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Delivery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Priority, expiry, deduplication, retry, backpressure, and dead-letter handling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Sender, recipients, intent, context, priority, evidence, classification, expiry, correlation, and provenance.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Message Primitive Contract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Command, query, event, stream, or coordination semantics; ordering, persistence, acknowledgement, replay, expiry, and recovery.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 mutation, target authority, preconditions, idempotency, deadline, and reply contract.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completed fact with source identity, occurrence/receipt time, causation, and integrity.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participants, state, decisions, open questions, dependencies, confidence, and next actions.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Authenticate sender and recipient identities and resolve the applicable authorization and Treaty boundaries.</w:t>
      </w:r>
    </w:p>
    <w:p>
      <w:pPr>
        <w:pStyle w:val="ListNumber"/>
      </w:pPr>
      <w:r>
        <w:t>Validate schema version, primitive contract, ordering/persistence semantics, intent, classification, expiry, replay protection, and routing metadata.</w:t>
      </w:r>
    </w:p>
    <w:p>
      <w:pPr>
        <w:pStyle w:val="ListNumber"/>
      </w:pPr>
      <w:r>
        <w:t>Encrypt across process, device, or trust boundaries; apply end-to-end protection for sensitive payloads.</w:t>
      </w:r>
    </w:p>
    <w:p>
      <w:pPr>
        <w:pStyle w:val="ListNumber"/>
      </w:pPr>
      <w:r>
        <w:t>Deliver by intent and capability rather than binding planners to a particular implementation.</w:t>
      </w:r>
    </w:p>
    <w:p>
      <w:pPr>
        <w:pStyle w:val="ListNumber"/>
      </w:pPr>
      <w:r>
        <w:t>Record correlation and receipt evidence; deduplicate before side-effecting command handling.</w:t>
      </w:r>
    </w:p>
    <w:p>
      <w:pPr>
        <w:pStyle w:val="ListNumber"/>
      </w:pPr>
      <w:r>
        <w:t>Persist significant collaboration in Conversation Objects independently of transcript presentation.</w:t>
      </w:r>
    </w:p>
    <w:p>
      <w:pPr>
        <w:pStyle w:val="ListNumber"/>
      </w:pPr>
      <w:r>
        <w:t>Apply bounded retry, backpressure, deferral, or dead-letter handling without losing provenance.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Unknown schema: reject or route to an explicit compatibility adapter; never guess semantics.</w:t>
      </w:r>
    </w:p>
    <w:p>
      <w:pPr>
        <w:pStyle w:val="ListBullet"/>
      </w:pPr>
      <w:r>
        <w:t>Duplicate command: return the recorded disposition using its idempotency identity.</w:t>
      </w:r>
    </w:p>
    <w:p>
      <w:pPr>
        <w:pStyle w:val="ListBullet"/>
      </w:pPr>
      <w:r>
        <w:t>Unavailable recipient: defer until expiry or return a transparent failure according to message policy.</w:t>
      </w:r>
    </w:p>
    <w:p>
      <w:pPr>
        <w:pStyle w:val="ListBullet"/>
      </w:pPr>
      <w:r>
        <w:t>Compromised event fabric: payload encryption and signatures preserve confidentiality/integrity; revoke transport trust.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Communication conveys intent; evidence supports decisions; authority determines action.</w:t>
      </w:r>
    </w:p>
    <w:p>
      <w:pPr>
        <w:pStyle w:val="ListBullet"/>
      </w:pPr>
      <w:r>
        <w:t>Network location never establishes trust—identity, authorization, and cryptographic proof do.</w:t>
      </w:r>
    </w:p>
    <w:p>
      <w:pPr>
        <w:pStyle w:val="ListBullet"/>
      </w:pPr>
      <w:r>
        <w:t>Commands, queries, events, streams, and coordination use explicit semantics rather than one forced primitive.</w:t>
      </w:r>
    </w:p>
    <w:p>
      <w:pPr>
        <w:pStyle w:val="ListBullet"/>
      </w:pPr>
      <w:r>
        <w:t>Transport infrastructure may route protected messages without automatically reading their payloads.</w:t>
      </w:r>
    </w:p>
    <w:p>
      <w:pPr>
        <w:pStyle w:val="ListBullet"/>
      </w:pPr>
      <w:r>
        <w:t>Every consequential message remains attributable, correlated, versioned,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3–4, 23, 27, 32, 39–40, 44, 49.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