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25 — Observability and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 HAL’s behavior reconstructable from governed evidence while minimizing unnecessary exposure of people and protected content.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7, 22, 26, 28, 34, 40, 44, 51,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Make HAL’s behavior reconstructable from governed evidence while minimizing unnecessary exposure of people and protected content.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Observability Fabric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Metrics, logs, traces, decisions, transactions, communications, outcomes, and health correlation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Tamper-evident protected records, access history, retention, and integrity verification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Explanation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Audience-appropriate summaries linked to forensic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Incident Recorder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snapshots, timelines, affected state, hypotheses, and resolution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Calibration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Predicted confidence versus observed outcomes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Request, intent, identities, causation, policy, transaction, thread, and outcome identifiers.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Actor, action, target, authority, policy, time, result, integrity, classification, and access controls.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Integrity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Occurrence time, receipt time, causal order, source clock, clock confidence, correction, and uncertainty.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Alive, ready, healthy, trusted, effective, source, confidence, and timestamp.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Incident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Trigger, timeline, evidence, affected components, hypotheses, containment, recovery, and lessons.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Issue correlation context at the beginning of consequential work and propagate it end-to-end.</w:t>
      </w:r>
    </w:p>
    <w:p>
      <w:pPr>
        <w:pStyle w:val="ListNumber"/>
      </w:pPr>
      <w:r>
        <w:t>Collect structured evidence from independent observers as well as the component being observed.</w:t>
      </w:r>
    </w:p>
    <w:p>
      <w:pPr>
        <w:pStyle w:val="ListNumber"/>
      </w:pPr>
      <w:r>
        <w:t>Protect sensitive fields and payloads while retaining enough metadata to reconstruct behavior.</w:t>
      </w:r>
    </w:p>
    <w:p>
      <w:pPr>
        <w:pStyle w:val="ListNumber"/>
      </w:pPr>
      <w:r>
        <w:t>Link decisions, authorizations, transactions, messages, provider attempts, outcomes, occurrence/receipt time, causal order, and clock confidence.</w:t>
      </w:r>
    </w:p>
    <w:p>
      <w:pPr>
        <w:pStyle w:val="ListNumber"/>
      </w:pPr>
      <w:r>
        <w:t>Detect anomalies, contradiction, calibration drift, and missing telemetry as health signals.</w:t>
      </w:r>
    </w:p>
    <w:p>
      <w:pPr>
        <w:pStyle w:val="ListNumber"/>
      </w:pPr>
      <w:r>
        <w:t>Preserve bounded incident snapshots when ordinary retention would lose necessary evidence.</w:t>
      </w:r>
    </w:p>
    <w:p>
      <w:pPr>
        <w:pStyle w:val="ListNumber"/>
      </w:pPr>
      <w:r>
        <w:t>Generate explanations from governed records at summary, technical, or forensic depth.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Missing telemetry: disclose the blind spot and lower confidence rather than infer healthy operation.</w:t>
      </w:r>
    </w:p>
    <w:p>
      <w:pPr>
        <w:pStyle w:val="ListBullet"/>
      </w:pPr>
      <w:r>
        <w:t>Audit integrity failure: raise a constitutional incident and preserve affected storage for investigation.</w:t>
      </w:r>
    </w:p>
    <w:p>
      <w:pPr>
        <w:pStyle w:val="ListBullet"/>
      </w:pPr>
      <w:r>
        <w:t>Observability overload: retain protected audit and safety signals before optional verbose diagnostics.</w:t>
      </w:r>
    </w:p>
    <w:p>
      <w:pPr>
        <w:pStyle w:val="ListBullet"/>
      </w:pPr>
      <w:r>
        <w:t>Privacy conflict: use field protection, minimization, and audited access rather than unrestricted logging.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can reconstruct what it did, why it did it, and what authority permitted it.</w:t>
      </w:r>
    </w:p>
    <w:p>
      <w:pPr>
        <w:pStyle w:val="ListBullet"/>
      </w:pPr>
      <w:r>
        <w:t>No component is the sole observer or judge of its own health.</w:t>
      </w:r>
    </w:p>
    <w:p>
      <w:pPr>
        <w:pStyle w:val="ListBullet"/>
      </w:pPr>
      <w:r>
        <w:t>Transparency reveals behavior without needlessly exposing people.</w:t>
      </w:r>
    </w:p>
    <w:p>
      <w:pPr>
        <w:pStyle w:val="ListBullet"/>
      </w:pPr>
      <w:r>
        <w:t>Status and explanation derive from governed evidence, never model assertion alone.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4, 7, 22, 26, 28, 34, 40, 44, 51, 55–56.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