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25 — Observability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Revised after whole-book constitutional and cross-chapter audit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Make HAL’s behavior reconstructable from governed evidence while minimizing unnecessary exposure of people and protected content.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4, 7, 22, 26, 28, 34, 40, 44, 51, 55–56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unresolved Owner decision after whole-book audit</w:t>
            </w:r>
          </w:p>
        </w:tc>
      </w:tr>
    </w:tbl>
    <w:p>
      <w:pPr>
        <w:pStyle w:val="Heading2"/>
      </w:pPr>
      <w:r>
        <w:t>1. Purpose</w:t>
      </w:r>
    </w:p>
    <w:p>
      <w:r>
        <w:t>Make HAL’s behavior reconstructable from governed evidence while minimizing unnecessary exposure of people and protected content.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Observability Fabric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Metrics, logs, traces, decisions, transactions, communications, outcomes, and health correlation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 Ledger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Tamper-evident protected records, access history, retention, and integrity verification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Explanation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Audience-appropriate summaries linked to forensic evidence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Incident Recorder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Bounded snapshots, timelines, affected state, hypotheses, and resolution evidence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Calibration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Predicted confidence versus observed outcomes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Correlation Context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Request, intent, identities, causation, policy, transaction, thread, and outcome identifiers.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Actor, action, target, authority, policy, time, result, integrity, classification, and access controls.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Time Integrity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Occurrence time, receipt time, causal order, source clock, clock confidence, correction, and uncertainty.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Health Observation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Alive, ready, healthy, trusted, effective, source, confidence, and timestamp.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Incident Object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Trigger, timeline, evidence, affected components, hypotheses, containment, recovery, and lessons.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Issue correlation context at the beginning of consequential work and propagate it end-to-end.</w:t>
      </w:r>
    </w:p>
    <w:p>
      <w:pPr>
        <w:pStyle w:val="ListNumber"/>
      </w:pPr>
      <w:r>
        <w:t>Collect structured evidence from independent observers as well as the component being observed.</w:t>
      </w:r>
    </w:p>
    <w:p>
      <w:pPr>
        <w:pStyle w:val="ListNumber"/>
      </w:pPr>
      <w:r>
        <w:t>Protect sensitive fields and payloads while retaining enough metadata to reconstruct behavior.</w:t>
      </w:r>
    </w:p>
    <w:p>
      <w:pPr>
        <w:pStyle w:val="ListNumber"/>
      </w:pPr>
      <w:r>
        <w:t>Link decisions, authorizations, transactions, messages, provider attempts, outcomes, occurrence/receipt time, causal order, and clock confidence.</w:t>
      </w:r>
    </w:p>
    <w:p>
      <w:pPr>
        <w:pStyle w:val="ListNumber"/>
      </w:pPr>
      <w:r>
        <w:t>Detect anomalies, contradiction, calibration drift, and missing telemetry as health signals.</w:t>
      </w:r>
    </w:p>
    <w:p>
      <w:pPr>
        <w:pStyle w:val="ListNumber"/>
      </w:pPr>
      <w:r>
        <w:t>Preserve bounded incident snapshots when ordinary retention would lose necessary evidence.</w:t>
      </w:r>
    </w:p>
    <w:p>
      <w:pPr>
        <w:pStyle w:val="ListNumber"/>
      </w:pPr>
      <w:r>
        <w:t>Generate explanations from governed records at summary, technical, or forensic depth.</w:t>
      </w:r>
    </w:p>
    <w:p>
      <w:pPr>
        <w:pStyle w:val="Heading2"/>
      </w:pPr>
      <w:r>
        <w:t>5. Interfaces and Contracts</w:t>
      </w:r>
    </w:p>
    <w:p>
      <w:r>
        <w:t>Commands, queries, events, records, and evidence are typed, versioned, authenticated, authorized, correlated, and classified. Mutation is accepted only by the authoritative owner. Every external or reality-changing boundary carries identity, policy, authority, provenance, integrity, time, and transaction context.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Missing telemetry: disclose the blind spot and lower confidence rather than infer healthy operation.</w:t>
      </w:r>
    </w:p>
    <w:p>
      <w:pPr>
        <w:pStyle w:val="ListBullet"/>
      </w:pPr>
      <w:r>
        <w:t>Audit integrity failure: raise a constitutional incident and preserve affected storage for investigation.</w:t>
      </w:r>
    </w:p>
    <w:p>
      <w:pPr>
        <w:pStyle w:val="ListBullet"/>
      </w:pPr>
      <w:r>
        <w:t>Observability overload: retain protected audit and safety signals before optional verbose diagnostics.</w:t>
      </w:r>
    </w:p>
    <w:p>
      <w:pPr>
        <w:pStyle w:val="ListBullet"/>
      </w:pPr>
      <w:r>
        <w:t>Privacy conflict: use field protection, minimization, and audited access rather than unrestricted logging.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HAL can reconstruct what it did, why it did it, and what authority permitted it.</w:t>
      </w:r>
    </w:p>
    <w:p>
      <w:pPr>
        <w:pStyle w:val="ListBullet"/>
      </w:pPr>
      <w:r>
        <w:t>No component is the sole observer or judge of its own health.</w:t>
      </w:r>
    </w:p>
    <w:p>
      <w:pPr>
        <w:pStyle w:val="ListBullet"/>
      </w:pPr>
      <w:r>
        <w:t>Transparency reveals behavior without needlessly exposing people.</w:t>
      </w:r>
    </w:p>
    <w:p>
      <w:pPr>
        <w:pStyle w:val="ListBullet"/>
      </w:pPr>
      <w:r>
        <w:t>Status and explanation derive from governed evidence, never model assertion alone.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or narrow constitutional authority, reinterpret Owner intent, erase dissent, or promote derived state to authority.</w:t>
      </w:r>
    </w:p>
    <w:p>
      <w:pPr>
        <w:pStyle w:val="ListBullet"/>
      </w:pPr>
      <w:r>
        <w:t>No failure, degraded dependency, emergency, or optimization may silently change identity, policy, trust, authentication, evidence, or verification rules.</w:t>
      </w:r>
    </w:p>
    <w:p>
      <w:pPr>
        <w:pStyle w:val="ListBullet"/>
      </w:pPr>
      <w:r>
        <w:t>No model, service, provider, node, Presence, credential, relationship, environment,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identity, correlation, authority/policy context, inputs, state versions, decisions, limitations, failures, recovery, and outcomes. Verification is risk-scaled, reproducible, and stored as durable evidence. Status and explanation derive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implements Decisions 4, 7, 22, 26, 28, 34, 40, 44, 51, 55–56. Final source-alignment and constitutional disposition is recorded in the batch audit reports; embedded approval text is not treated as review evidence.</w:t>
      </w:r>
    </w:p>
    <w:p>
      <w:pPr>
        <w:pStyle w:val="Heading2"/>
        <w:keepNext/>
      </w:pPr>
      <w:r>
        <w:t>Whole-Book Audit Resolution</w:t>
      </w:r>
    </w:p>
    <w:p>
      <w:pPr>
        <w:keepNext/>
      </w:pPr>
      <w:r>
        <w:t>The following requirements supersede any ambiguous earlier wording in this chapter and are incorporated into this edition:</w:t>
      </w:r>
    </w:p>
    <w:p>
      <w:pPr>
        <w:pStyle w:val="ListBullet"/>
        <w:keepLines/>
      </w:pPr>
      <w:r>
        <w:t>The Observability Fabric produces telemetry and evidence candidates; it is not the semantic owner of general Evidence Objects.</w:t>
      </w:r>
    </w:p>
    <w:p>
      <w:pPr>
        <w:pStyle w:val="ListBullet"/>
        <w:keepLines/>
      </w:pPr>
      <w:r>
        <w:t>The Chapter 18 Evidence Service owns Evidence Objects and custody. The Audit Ledger owns protected action/access audit records.</w:t>
      </w:r>
    </w:p>
    <w:p>
      <w:pPr>
        <w:pStyle w:val="ListBullet"/>
        <w:keepLines/>
      </w:pPr>
      <w:r>
        <w:t>Explanations and health views are derived projections and cannot become authoritative state.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Revised after full Book II constitutional and cross-chapter audit.</dc:description>
  <cp:lastModifiedBy/>
  <cp:revision>1</cp:revision>
  <dcterms:created xsi:type="dcterms:W3CDTF">2013-12-23T23:15:00Z</dcterms:created>
  <dcterms:modified xsi:type="dcterms:W3CDTF">2013-12-23T23:15:00Z</dcterms:modified>
  <cp:category/>
  <cp:version>0.2</cp:version>
</cp:coreProperties>
</file>