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26 — Security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Protect constitutional identity, authority, data, communication, software, and reality-changing actions through layered, evidence-backed controls.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25, 27, 29, 32, 35–43, 47–50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Protect constitutional identity, authority, data, communication, software, and reality-changing actions through layered, evidence-backed controls.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Policy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rules, risk classes, control requirements, and exception governance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Security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Credential lifecycle, step-up authentication, liveness, compromise signals, and revocation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Key and Secrets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Key custody, short-lived credentials, rotation, revocation, and audited use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Monitor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detection, attack correlation, containment recommendations, and incident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Supply Chain Verifier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Artifact provenance, signatures, dependencies, compatibility, and release evidence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Actor, target, risk, authentication confidence, device/Presence, policy, and environment.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Credential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scope, issuer, proof type, issue/expiry, revocation, hardware binding, and use constraints.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Observation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Source, indicator, affected assets, confidence, severity, evidence, and recommended containment.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 Exception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control, reason, scope, duration, compensating controls, authorization, and review.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every actor and component cryptographically; treat local network location as untrusted context.</w:t>
      </w:r>
    </w:p>
    <w:p>
      <w:pPr>
        <w:pStyle w:val="ListNumber"/>
      </w:pPr>
      <w:r>
        <w:t>Evaluate least-privilege authority, purpose, device/Presence, risk, and fresh policy for each protected action.</w:t>
      </w:r>
    </w:p>
    <w:p>
      <w:pPr>
        <w:pStyle w:val="ListNumber"/>
      </w:pPr>
      <w:r>
        <w:t>Use scoped, short-lived credentials and secret references rather than distributing ambient secrets.</w:t>
      </w:r>
    </w:p>
    <w:p>
      <w:pPr>
        <w:pStyle w:val="ListNumber"/>
      </w:pPr>
      <w:r>
        <w:t>Verify signed software provenance and compatibility before loading executable artifacts.</w:t>
      </w:r>
    </w:p>
    <w:p>
      <w:pPr>
        <w:pStyle w:val="ListNumber"/>
      </w:pPr>
      <w:r>
        <w:t>Monitor for identity, behavior, integrity, exfiltration, replay, escalation, and supply-chain anomalies.</w:t>
      </w:r>
    </w:p>
    <w:p>
      <w:pPr>
        <w:pStyle w:val="ListNumber"/>
      </w:pPr>
      <w:r>
        <w:t>Contain suspected compromise by the narrowest safe boundary and preserve evidence.</w:t>
      </w:r>
    </w:p>
    <w:p>
      <w:pPr>
        <w:pStyle w:val="ListNumber"/>
      </w:pPr>
      <w:r>
        <w:t>Recover through verified identity, state, credentials, software, and post-incident validation.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Security dependency unavailable: protected actions fail closed or enter a predefined safe state.</w:t>
      </w:r>
    </w:p>
    <w:p>
      <w:pPr>
        <w:pStyle w:val="ListBullet"/>
      </w:pPr>
      <w:r>
        <w:t>Credential compromise: revoke the credential and quarantine affected sessions without redefining identity.</w:t>
      </w:r>
    </w:p>
    <w:p>
      <w:pPr>
        <w:pStyle w:val="ListBullet"/>
      </w:pPr>
      <w:r>
        <w:t>Key loss: recover through separately protected Owner and continuity procedures; never bypass authentication.</w:t>
      </w:r>
    </w:p>
    <w:p>
      <w:pPr>
        <w:pStyle w:val="ListBullet"/>
      </w:pPr>
      <w:r>
        <w:t>Urgent vulnerability: accelerate verification and rollout but retain authorization and recoverability.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Authority is explicit, least-privilege, purpose-bound, time-bounded where possible, and continuously auditable.</w:t>
      </w:r>
    </w:p>
    <w:p>
      <w:pPr>
        <w:pStyle w:val="ListBullet"/>
      </w:pPr>
      <w:r>
        <w:t>Encryption provides confidentiality and integrity but does not replace identity, authorization, or privacy policy.</w:t>
      </w:r>
    </w:p>
    <w:p>
      <w:pPr>
        <w:pStyle w:val="ListBullet"/>
      </w:pPr>
      <w:r>
        <w:t>Security failure cannot silently make HAL more permissive or more restrictive.</w:t>
      </w:r>
    </w:p>
    <w:p>
      <w:pPr>
        <w:pStyle w:val="ListBullet"/>
      </w:pPr>
      <w:r>
        <w:t>HAL protects its constitutional kernel more strongly than replaceable capabilities and providers.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25, 27, 29, 32, 35–43, 47–50.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