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26 — Security Architecture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3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Field</w:t>
            </w:r>
          </w:p>
        </w:tc>
        <w:tc>
          <w:tcPr>
            <w:tcW w:type="dxa" w:w="705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Revised after whole-book constitutional and cross-chapter audit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Version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0.2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Scope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Protect constitutional identity, authority, data, communication, software, and reality-changing actions through layered, evidence-backed controls.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Constitutional basis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Decisions 25, 27, 29, 32, 35–43, 47–50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Owner review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 unresolved Owner decision after whole-book audit</w:t>
            </w:r>
          </w:p>
        </w:tc>
      </w:tr>
    </w:tbl>
    <w:p>
      <w:pPr>
        <w:pStyle w:val="Heading2"/>
      </w:pPr>
      <w:r>
        <w:t>1. Purpose</w:t>
      </w:r>
    </w:p>
    <w:p>
      <w:r>
        <w:t>Protect constitutional identity, authority, data, communication, software, and reality-changing actions through layered, evidence-backed controls.</w:t>
      </w:r>
    </w:p>
    <w:p>
      <w:pPr>
        <w:pStyle w:val="Heading2"/>
      </w:pPr>
      <w:r>
        <w:t>2. Authoritative Responsibilities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6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Authoritative responsibility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Security Policy Service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Security rules, risk classes, control requirements, and exception governance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Identity Security Service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Credential lifecycle, step-up authentication, liveness, compromise signals, and revocation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Key and Secrets Service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Key custody, short-lived credentials, rotation, revocation, and audited use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Security Monitor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Threat detection, attack correlation, containment recommendations, and incident evidence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Supply Chain Verifier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Artifact provenance, signatures, dependencies, compatibility, and release evidence</w:t>
            </w:r>
          </w:p>
        </w:tc>
      </w:tr>
    </w:tbl>
    <w:p>
      <w:pPr>
        <w:pStyle w:val="Heading2"/>
      </w:pPr>
      <w:r>
        <w:t>3. Core State and Records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Object</w:t>
            </w:r>
          </w:p>
        </w:tc>
        <w:tc>
          <w:tcPr>
            <w:tcW w:type="dxa" w:w="6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Required content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Security Context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Actor, target, risk, authentication confidence, device/Presence, policy, and environment.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Credential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Subject, scope, issuer, proof type, issue/expiry, revocation, hardware binding, and use constraints.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Threat Observation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Source, indicator, affected assets, confidence, severity, evidence, and recommended containment.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Security Exception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Exact control, reason, scope, duration, compensating controls, authorization, and review.</w:t>
            </w:r>
          </w:p>
        </w:tc>
      </w:tr>
    </w:tbl>
    <w:p>
      <w:pPr>
        <w:pStyle w:val="Heading2"/>
      </w:pPr>
      <w:r>
        <w:t>4. Runtime Workflow</w:t>
      </w:r>
    </w:p>
    <w:p>
      <w:pPr>
        <w:pStyle w:val="ListNumber"/>
      </w:pPr>
      <w:r>
        <w:t>Authenticate every actor and component cryptographically; treat local network location as untrusted context.</w:t>
      </w:r>
    </w:p>
    <w:p>
      <w:pPr>
        <w:pStyle w:val="ListNumber"/>
      </w:pPr>
      <w:r>
        <w:t>Evaluate least-privilege authority, purpose, device/Presence, risk, and fresh policy for each protected action.</w:t>
      </w:r>
    </w:p>
    <w:p>
      <w:pPr>
        <w:pStyle w:val="ListNumber"/>
      </w:pPr>
      <w:r>
        <w:t>Use scoped, short-lived credentials and secret references rather than distributing ambient secrets.</w:t>
      </w:r>
    </w:p>
    <w:p>
      <w:pPr>
        <w:pStyle w:val="ListNumber"/>
      </w:pPr>
      <w:r>
        <w:t>Verify signed software provenance and compatibility before loading executable artifacts.</w:t>
      </w:r>
    </w:p>
    <w:p>
      <w:pPr>
        <w:pStyle w:val="ListNumber"/>
      </w:pPr>
      <w:r>
        <w:t>Monitor for identity, behavior, integrity, exfiltration, replay, escalation, and supply-chain anomalies.</w:t>
      </w:r>
    </w:p>
    <w:p>
      <w:pPr>
        <w:pStyle w:val="ListNumber"/>
      </w:pPr>
      <w:r>
        <w:t>Contain suspected compromise by the narrowest safe boundary and preserve evidence.</w:t>
      </w:r>
    </w:p>
    <w:p>
      <w:pPr>
        <w:pStyle w:val="ListNumber"/>
      </w:pPr>
      <w:r>
        <w:t>Recover through verified identity, state, credentials, software, and post-incident validation.</w:t>
      </w:r>
    </w:p>
    <w:p>
      <w:pPr>
        <w:pStyle w:val="Heading2"/>
      </w:pPr>
      <w:r>
        <w:t>5. Interfaces and Contracts</w:t>
      </w:r>
    </w:p>
    <w:p>
      <w:r>
        <w:t>Commands, queries, events, records, and evidence are typed, versioned, authenticated, authorized, correlated, and classified. Mutation is accepted only by the authoritative owner. Every external or reality-changing boundary carries identity, policy, authority, provenance, integrity, time, and transaction context.</w:t>
      </w:r>
    </w:p>
    <w:p>
      <w:pPr>
        <w:pStyle w:val="Heading2"/>
      </w:pPr>
      <w:r>
        <w:t>6. Failure and Recovery</w:t>
      </w:r>
    </w:p>
    <w:p>
      <w:pPr>
        <w:pStyle w:val="ListBullet"/>
      </w:pPr>
      <w:r>
        <w:t>Security dependency unavailable: protected actions fail closed or enter a predefined safe state.</w:t>
      </w:r>
    </w:p>
    <w:p>
      <w:pPr>
        <w:pStyle w:val="ListBullet"/>
      </w:pPr>
      <w:r>
        <w:t>Credential compromise: revoke the credential and quarantine affected sessions without redefining identity.</w:t>
      </w:r>
    </w:p>
    <w:p>
      <w:pPr>
        <w:pStyle w:val="ListBullet"/>
      </w:pPr>
      <w:r>
        <w:t>Key loss: recover through separately protected Owner and continuity procedures; never bypass authentication.</w:t>
      </w:r>
    </w:p>
    <w:p>
      <w:pPr>
        <w:pStyle w:val="ListBullet"/>
      </w:pPr>
      <w:r>
        <w:t>Urgent vulnerability: accelerate verification and rollout but retain authorization and recoverability.</w:t>
      </w:r>
    </w:p>
    <w:p>
      <w:pPr>
        <w:pStyle w:val="Heading2"/>
      </w:pPr>
      <w:r>
        <w:t>7. Constitutional Guarantees</w:t>
      </w:r>
    </w:p>
    <w:p>
      <w:pPr>
        <w:pStyle w:val="ListBullet"/>
      </w:pPr>
      <w:r>
        <w:t>Authority is explicit, least-privilege, purpose-bound, time-bounded where possible, and continuously auditable.</w:t>
      </w:r>
    </w:p>
    <w:p>
      <w:pPr>
        <w:pStyle w:val="ListBullet"/>
      </w:pPr>
      <w:r>
        <w:t>Encryption provides confidentiality and integrity but does not replace identity, authorization, or privacy policy.</w:t>
      </w:r>
    </w:p>
    <w:p>
      <w:pPr>
        <w:pStyle w:val="ListBullet"/>
      </w:pPr>
      <w:r>
        <w:t>Security failure cannot silently make HAL more permissive or more restrictive.</w:t>
      </w:r>
    </w:p>
    <w:p>
      <w:pPr>
        <w:pStyle w:val="ListBullet"/>
      </w:pPr>
      <w:r>
        <w:t>HAL protects its constitutional kernel more strongly than replaceable capabilities and providers.</w:t>
      </w:r>
    </w:p>
    <w:p>
      <w:pPr>
        <w:pStyle w:val="Heading2"/>
      </w:pPr>
      <w:r>
        <w:t>8. Prohibited Behaviors</w:t>
      </w:r>
    </w:p>
    <w:p>
      <w:pPr>
        <w:pStyle w:val="ListBullet"/>
      </w:pPr>
      <w:r>
        <w:t>No component may silently broaden or narrow constitutional authority, reinterpret Owner intent, erase dissent, or promote derived state to authority.</w:t>
      </w:r>
    </w:p>
    <w:p>
      <w:pPr>
        <w:pStyle w:val="ListBullet"/>
      </w:pPr>
      <w:r>
        <w:t>No failure, degraded dependency, emergency, or optimization may silently change identity, policy, trust, authentication, evidence, or verification rules.</w:t>
      </w:r>
    </w:p>
    <w:p>
      <w:pPr>
        <w:pStyle w:val="ListBullet"/>
      </w:pPr>
      <w:r>
        <w:t>No model, service, provider, node, Presence, credential, relationship, environment, or network location receives constitutional authority by implication.</w:t>
      </w:r>
    </w:p>
    <w:p>
      <w:pPr>
        <w:pStyle w:val="Heading2"/>
      </w:pPr>
      <w:r>
        <w:t>9. Observability and Verification</w:t>
      </w:r>
    </w:p>
    <w:p>
      <w:r>
        <w:t>The subsystem records identity, correlation, authority/policy context, inputs, state versions, decisions, limitations, failures, recovery, and outcomes. Verification is risk-scaled, reproducible, and stored as durable evidence. Status and explanation derive from governed state rather than model assertion.</w:t>
      </w:r>
    </w:p>
    <w:p>
      <w:pPr>
        <w:pStyle w:val="Heading2"/>
      </w:pPr>
      <w:r>
        <w:t>10. Source Alignment and Review</w:t>
      </w:r>
    </w:p>
    <w:p>
      <w:r>
        <w:t>This chapter implements Decisions 25, 27, 29, 32, 35–43, 47–50. Final source-alignment and constitutional disposition is recorded in the batch audit reports; embedded approval text is not treated as review evidence.</w:t>
      </w:r>
    </w:p>
    <w:p>
      <w:pPr>
        <w:pStyle w:val="Heading2"/>
        <w:keepNext/>
      </w:pPr>
      <w:r>
        <w:t>Whole-Book Audit Resolution</w:t>
      </w:r>
    </w:p>
    <w:p>
      <w:pPr>
        <w:keepNext/>
      </w:pPr>
      <w:r>
        <w:t>The following requirements supersede any ambiguous earlier wording in this chapter and are incorporated into this edition:</w:t>
      </w:r>
    </w:p>
    <w:p>
      <w:pPr>
        <w:pStyle w:val="ListBullet"/>
        <w:keepLines/>
      </w:pPr>
      <w:r>
        <w:t>Embedded author approval is not conformance evidence. This chapter's constitutional status is determined only by the independent whole-book audit.</w:t>
      </w:r>
    </w:p>
    <w:p>
      <w:pPr>
        <w:pStyle w:val="ListBullet"/>
        <w:keepLines/>
      </w:pPr>
      <w:r>
        <w:t>No substantive constitutional or cross-chapter correction was required in this edition.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Book II • Architecture Specification • </w:t>
    </w:r>
    <w:r>
      <w:t xml:space="preserve">Page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7" w:space="6" w:color="C8D4E3"/>
      </w:pBdr>
    </w:pPr>
    <w:r>
      <w:rPr>
        <w:color w:val="5B6573"/>
        <w:sz w:val="16"/>
      </w:rPr>
      <w:t>HAL — BOOK II: CHAPTER 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634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64" w:lineRule="auto"/>
      <w:ind w:left="720" w:hanging="36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Revised after full Book II constitutional and cross-chapter audit.</dc:description>
  <cp:lastModifiedBy/>
  <cp:revision>1</cp:revision>
  <dcterms:created xsi:type="dcterms:W3CDTF">2013-12-23T23:15:00Z</dcterms:created>
  <dcterms:modified xsi:type="dcterms:W3CDTF">2013-12-23T23:15:00Z</dcterms:modified>
  <cp:category/>
  <cp:version>0.2</cp:version>
</cp:coreProperties>
</file>