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27 — Failure Containment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Prevent component, node, provider, data, or reasoning failures from cascading across HAL or silently changing its rules.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19, 22, 28–29, 35, 38, 41–42, 47, 50, 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Prevent component, node, provider, data, or reasoning failures from cascading across HAL or silently changing its rules.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Domain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boundaries, dependency graph, blast-radius policy, and isolation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Circuit Breaker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 thresholds, trip state, probes, cooldown, and recovery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Quarantine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node, provider, artifact, data, or evidence quarantine lifecycle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Degradation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fallback, reduced capability, disclosure, and protected capacity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Domain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Components, dependencies, protected boundaries, containment action, and safe-state behavior.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Declaration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Trigger, evidence, confidence, affected capability, user impact,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Quarantine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reason, restrictions, evidence, authority, review, and release requirements.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Degradation Mode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Unavailable/reduced capability, permitted substitutes, quality impact, disclosure, and exit gate.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Detect failure from independent health, transaction, evidence, security, or outcome observations.</w:t>
      </w:r>
    </w:p>
    <w:p>
      <w:pPr>
        <w:pStyle w:val="ListNumber"/>
      </w:pPr>
      <w:r>
        <w:t>Classify affected domain, consequence, uncertainty, and declared fail-open/fail-closed/fail-safe behavior.</w:t>
      </w:r>
    </w:p>
    <w:p>
      <w:pPr>
        <w:pStyle w:val="ListNumber"/>
      </w:pPr>
      <w:r>
        <w:t>Trip the narrowest circuit, isolate dependencies, and preserve constitutional/observability/recovery reserve.</w:t>
      </w:r>
    </w:p>
    <w:p>
      <w:pPr>
        <w:pStyle w:val="ListNumber"/>
      </w:pPr>
      <w:r>
        <w:t>Quarantine untrusted identities, nodes, providers, artifacts, or data when integrity is uncertain.</w:t>
      </w:r>
    </w:p>
    <w:p>
      <w:pPr>
        <w:pStyle w:val="ListNumber"/>
      </w:pPr>
      <w:r>
        <w:t>Select only predeclared, policy-valid fallback behavior and disclose material degradation.</w:t>
      </w:r>
    </w:p>
    <w:p>
      <w:pPr>
        <w:pStyle w:val="ListNumber"/>
      </w:pPr>
      <w:r>
        <w:t>Verify recovery with probes, shadow/canary evidence, and state reconciliation.</w:t>
      </w:r>
    </w:p>
    <w:p>
      <w:pPr>
        <w:pStyle w:val="ListNumber"/>
      </w:pPr>
      <w:r>
        <w:t>Restore gradually; protected quarantine release follows its Owner-governed rule.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Failure detector disagreement: preserve both observations and choose the safer bounded state pending evidence.</w:t>
      </w:r>
    </w:p>
    <w:p>
      <w:pPr>
        <w:pStyle w:val="ListBullet"/>
      </w:pPr>
      <w:r>
        <w:t>Fallback also fails: stop the affected capability rather than cascade through unverified substitutes.</w:t>
      </w:r>
    </w:p>
    <w:p>
      <w:pPr>
        <w:pStyle w:val="ListBullet"/>
      </w:pPr>
      <w:r>
        <w:t>Containment harms unrelated work: record impact and adjust topology without lowering constitutional controls.</w:t>
      </w:r>
    </w:p>
    <w:p>
      <w:pPr>
        <w:pStyle w:val="ListBullet"/>
      </w:pPr>
      <w:r>
        <w:t>Unknown root cause: retain quarantine and continue evidence collection; uncertainty is not restoration evidence.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No single failure may silently change HAL’s rules or constitutional behavior.</w:t>
      </w:r>
    </w:p>
    <w:p>
      <w:pPr>
        <w:pStyle w:val="ListBullet"/>
      </w:pPr>
      <w:r>
        <w:t>Failures are contained by explicit domains rather than implicit shared dependencies.</w:t>
      </w:r>
    </w:p>
    <w:p>
      <w:pPr>
        <w:pStyle w:val="ListBullet"/>
      </w:pPr>
      <w:r>
        <w:t>Graceful degradation is transparent, bounded, and policy-governed.</w:t>
      </w:r>
    </w:p>
    <w:p>
      <w:pPr>
        <w:pStyle w:val="ListBullet"/>
      </w:pPr>
      <w:r>
        <w:t>Quarantine limits authority and access without rewriting identity or historical evidence.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19, 22, 28–29, 35, 38, 41–42, 47, 50, 56.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