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28 — Recovery and Continuity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Restore HAL after partial or catastrophic failure in an order that preserves constitutional identity, Owner authority, history, and verifiable continuity.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22, 29, 35, 38, 42, 47, 50–51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Restore HAL after partial or catastrophic failure in an order that preserves constitutional identity, Owner authority, history, and verifiable continuity.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plans, orchestration, checkpoints, evidence, and disposition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Continuity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Constitution, identity, authority, audit, configuration, and ledger recovery order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Restore Verifier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Integrity, completeness, compatibility, identity continuity, and outcome tests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Presence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Minimal Owner interaction and status during degraded restoration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Scenario, priorities, sources, steps, authority, RPO/RTO, verification, and rollback.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Continuity Checkpoint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Constitution, Owner identity, authority, policy, audit, ledger versions, and signatures.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Restore Attempt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Source, target, versions, transformations, checks, result, and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Failure, selected plan, timeline, restored state, gaps, uncertainty, approvals, and final status.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Identify failure scope and preserve remaining evidence before making restorative changes.</w:t>
      </w:r>
    </w:p>
    <w:p>
      <w:pPr>
        <w:pStyle w:val="ListNumber"/>
      </w:pPr>
      <w:r>
        <w:t>Establish a trusted minimal environment and verify the Owner recovery channel.</w:t>
      </w:r>
    </w:p>
    <w:p>
      <w:pPr>
        <w:pStyle w:val="ListNumber"/>
      </w:pPr>
      <w:r>
        <w:t>Restore Constitution and Owner identity/authorization before other governance or capability.</w:t>
      </w:r>
    </w:p>
    <w:p>
      <w:pPr>
        <w:pStyle w:val="ListNumber"/>
      </w:pPr>
      <w:r>
        <w:t>Restore governance, audit, configuration, transaction/experience ledgers, and canonical knowledge in order.</w:t>
      </w:r>
    </w:p>
    <w:p>
      <w:pPr>
        <w:pStyle w:val="ListNumber"/>
      </w:pPr>
      <w:r>
        <w:t>Reconcile distributed state and rebuild derived indexes and caches from authoritative records.</w:t>
      </w:r>
    </w:p>
    <w:p>
      <w:pPr>
        <w:pStyle w:val="ListNumber"/>
      </w:pPr>
      <w:r>
        <w:t>Validate identity continuity, policy, trust, Treaties, transactions, capabilities, and limitations.</w:t>
      </w:r>
    </w:p>
    <w:p>
      <w:pPr>
        <w:pStyle w:val="ListNumber"/>
      </w:pPr>
      <w:r>
        <w:t>Resume through staged operation and issue a signed post-recovery Constitutional Mirror.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Recovery source integrity uncertain: do not promote it; seek another independent copy or Owner-directed path.</w:t>
      </w:r>
    </w:p>
    <w:p>
      <w:pPr>
        <w:pStyle w:val="ListBullet"/>
      </w:pPr>
      <w:r>
        <w:t>State versions conflict: preserve alternatives and reconstruct causality before selecting canonical state.</w:t>
      </w:r>
    </w:p>
    <w:p>
      <w:pPr>
        <w:pStyle w:val="ListBullet"/>
      </w:pPr>
      <w:r>
        <w:t>Owner authentication unavailable: remain in minimal safe recovery without constitutional mutation.</w:t>
      </w:r>
    </w:p>
    <w:p>
      <w:pPr>
        <w:pStyle w:val="ListBullet"/>
      </w:pPr>
      <w:r>
        <w:t>Restore passes technically but not constitutionally: keep production disabled until continuity checks pass.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Recovery restores who HAL is before restoring what HAL can do.</w:t>
      </w:r>
    </w:p>
    <w:p>
      <w:pPr>
        <w:pStyle w:val="ListBullet"/>
      </w:pPr>
      <w:r>
        <w:t>Recovery evidence is explicit; absence of an error is not proof of continuity.</w:t>
      </w:r>
    </w:p>
    <w:p>
      <w:pPr>
        <w:pStyle w:val="ListBullet"/>
      </w:pPr>
      <w:r>
        <w:t>Derived data is rebuilt only after canonical records are verified.</w:t>
      </w:r>
    </w:p>
    <w:p>
      <w:pPr>
        <w:pStyle w:val="ListBullet"/>
      </w:pPr>
      <w:r>
        <w:t>Every material recovery remains reproducible, reviewable, and linked to the initiating incident.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22, 29, 35, 38, 42, 47, 50–51.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