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28 — Recovery and Continuity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Revised after whole-book constitutional and cross-chapter audit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0.2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Restore HAL after partial or catastrophic failure in an order that preserves constitutional identity, Owner authority, history, and verifiable continuity.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Decisions 22, 29, 35, 38, 42, 47, 50–51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unresolved Owner decision after whole-book audit</w:t>
            </w:r>
          </w:p>
        </w:tc>
      </w:tr>
    </w:tbl>
    <w:p>
      <w:pPr>
        <w:pStyle w:val="Heading2"/>
      </w:pPr>
      <w:r>
        <w:t>1. Purpose</w:t>
      </w:r>
    </w:p>
    <w:p>
      <w:r>
        <w:t>Restore HAL after partial or catastrophic failure in an order that preserves constitutional identity, Owner authority, history, and verifiable continuity.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Recovery Manager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Recovery plans, orchestration, checkpoints, evidence, and disposition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Continuity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Constitution, identity, authority, audit, configuration, and ledger recovery order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Restore Verifier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Integrity, completeness, compatibility, identity continuity, and outcome tests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Recovery Presence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Minimal Owner interaction and status during degraded restoration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Recovery Plan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Scenario, priorities, sources, steps, authority, RPO/RTO, verification, and rollback.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Continuity Checkpoint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Constitution, Owner identity, authority, policy, audit, ledger versions, and signatures.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Restore Attempt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Source, target, versions, transformations, checks, result, and evidence.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Recovery Record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Failure, selected plan, timeline, restored state, gaps, uncertainty, approvals, and final status.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Identify failure scope and preserve remaining evidence before making restorative changes.</w:t>
      </w:r>
    </w:p>
    <w:p>
      <w:pPr>
        <w:pStyle w:val="ListNumber"/>
      </w:pPr>
      <w:r>
        <w:t>Establish a trusted minimal environment and verify the Owner recovery channel.</w:t>
      </w:r>
    </w:p>
    <w:p>
      <w:pPr>
        <w:pStyle w:val="ListNumber"/>
      </w:pPr>
      <w:r>
        <w:t>Restore Constitution and Owner identity/authorization before other governance or capability.</w:t>
      </w:r>
    </w:p>
    <w:p>
      <w:pPr>
        <w:pStyle w:val="ListNumber"/>
      </w:pPr>
      <w:r>
        <w:t>Restore governance, audit, configuration, transaction/experience ledgers, and canonical knowledge in order.</w:t>
      </w:r>
    </w:p>
    <w:p>
      <w:pPr>
        <w:pStyle w:val="ListNumber"/>
      </w:pPr>
      <w:r>
        <w:t>Reconcile distributed state and rebuild derived indexes and caches from authoritative records.</w:t>
      </w:r>
    </w:p>
    <w:p>
      <w:pPr>
        <w:pStyle w:val="ListNumber"/>
      </w:pPr>
      <w:r>
        <w:t>Validate identity continuity, policy, trust, Treaties, transactions, capabilities, and limitations.</w:t>
      </w:r>
    </w:p>
    <w:p>
      <w:pPr>
        <w:pStyle w:val="ListNumber"/>
      </w:pPr>
      <w:r>
        <w:t>Resume through staged operation and issue a signed post-recovery Constitutional Mirror.</w:t>
      </w:r>
    </w:p>
    <w:p>
      <w:pPr>
        <w:pStyle w:val="Heading2"/>
      </w:pPr>
      <w:r>
        <w:t>5. Interfaces and Contracts</w:t>
      </w:r>
    </w:p>
    <w:p>
      <w:r>
        <w:t>Commands, queries, events, records, and evidence are typed, versioned, authenticated, authorized, correlated, and classified. Mutation is accepted only by the authoritative owner. Every external or reality-changing boundary carries identity, policy, authority, provenance, integrity, time, and transaction context.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Recovery source integrity uncertain: do not promote it; seek another independent copy or Owner-directed path.</w:t>
      </w:r>
    </w:p>
    <w:p>
      <w:pPr>
        <w:pStyle w:val="ListBullet"/>
      </w:pPr>
      <w:r>
        <w:t>State versions conflict: preserve alternatives and reconstruct causality before selecting canonical state.</w:t>
      </w:r>
    </w:p>
    <w:p>
      <w:pPr>
        <w:pStyle w:val="ListBullet"/>
      </w:pPr>
      <w:r>
        <w:t>Owner authentication unavailable: remain in minimal safe recovery without constitutional mutation.</w:t>
      </w:r>
    </w:p>
    <w:p>
      <w:pPr>
        <w:pStyle w:val="ListBullet"/>
      </w:pPr>
      <w:r>
        <w:t>Restore passes technically but not constitutionally: keep production disabled until continuity checks pass.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Recovery restores who HAL is before restoring what HAL can do.</w:t>
      </w:r>
    </w:p>
    <w:p>
      <w:pPr>
        <w:pStyle w:val="ListBullet"/>
      </w:pPr>
      <w:r>
        <w:t>Recovery evidence is explicit; absence of an error is not proof of continuity.</w:t>
      </w:r>
    </w:p>
    <w:p>
      <w:pPr>
        <w:pStyle w:val="ListBullet"/>
      </w:pPr>
      <w:r>
        <w:t>Derived data is rebuilt only after canonical records are verified.</w:t>
      </w:r>
    </w:p>
    <w:p>
      <w:pPr>
        <w:pStyle w:val="ListBullet"/>
      </w:pPr>
      <w:r>
        <w:t>Every material recovery remains reproducible, reviewable, and linked to the initiating incident.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or narrow constitutional authority, reinterpret Owner intent, erase dissent, or promote derived state to authority.</w:t>
      </w:r>
    </w:p>
    <w:p>
      <w:pPr>
        <w:pStyle w:val="ListBullet"/>
      </w:pPr>
      <w:r>
        <w:t>No failure, degraded dependency, emergency, or optimization may silently change identity, policy, trust, authentication, evidence, or verification rules.</w:t>
      </w:r>
    </w:p>
    <w:p>
      <w:pPr>
        <w:pStyle w:val="ListBullet"/>
      </w:pPr>
      <w:r>
        <w:t>No model, service, provider, node, Presence, credential, relationship, environment,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identity, correlation, authority/policy context, inputs, state versions, decisions, limitations, failures, recovery, and outcomes. Verification is risk-scaled, reproducible, and stored as durable evidence. Status and explanation derive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implements Decisions 22, 29, 35, 38, 42, 47, 50–51. Final source-alignment and constitutional disposition is recorded in the batch audit reports; embedded approval text is not treated as review evidence.</w:t>
      </w:r>
    </w:p>
    <w:p>
      <w:pPr>
        <w:pStyle w:val="Heading2"/>
        <w:keepNext/>
      </w:pPr>
      <w:r>
        <w:t>Whole-Book Audit Resolution</w:t>
      </w:r>
    </w:p>
    <w:p>
      <w:pPr>
        <w:keepNext/>
      </w:pPr>
      <w:r>
        <w:t>The following requirements supersede any ambiguous earlier wording in this chapter and are incorporated into this edition:</w:t>
      </w:r>
    </w:p>
    <w:p>
      <w:pPr>
        <w:pStyle w:val="ListBullet"/>
        <w:keepLines/>
      </w:pPr>
      <w:r>
        <w:t>A successor may receive a recovery constitutional lease only after independent state, identity, integrity, and quorum verification.</w:t>
      </w:r>
    </w:p>
    <w:p>
      <w:pPr>
        <w:pStyle w:val="ListBullet"/>
        <w:keepLines/>
      </w:pPr>
      <w:r>
        <w:t>The lease expires after no more than 24 hours. Every extension requires fresh, exact, Owner-specific authorization.</w:t>
      </w:r>
    </w:p>
    <w:p>
      <w:pPr>
        <w:pStyle w:val="ListBullet"/>
        <w:keepLines/>
      </w:pPr>
      <w:r>
        <w:t>Without extension, recovery continues only in Restricted or Safe Recovery mode and protected canonical mutation stops.</w:t>
      </w:r>
    </w:p>
    <w:p>
      <w:pPr>
        <w:pStyle w:val="ListBullet"/>
        <w:keepLines/>
      </w:pPr>
      <w:r>
        <w:t>Permanent reassignment of the Primary Constitutional Host requires the Owner Authorization Ceremony.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28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Revised after full Book II constitutional and cross-chapter audit.</dc:description>
  <cp:lastModifiedBy/>
  <cp:revision>1</cp:revision>
  <dcterms:created xsi:type="dcterms:W3CDTF">2013-12-23T23:15:00Z</dcterms:created>
  <dcterms:modified xsi:type="dcterms:W3CDTF">2013-12-23T23:15:00Z</dcterms:modified>
  <cp:category/>
  <cp:version>0.2</cp:version>
</cp:coreProperties>
</file>