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29 — Software Lifecycle and Change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 software, model, schema, configuration, adapter, and infrastructure changes as governed evolutionary transactions rather than informal maintenance.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33, 37–39, 43, 50–51,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Treat software, model, schema, configuration, adapter, and infrastructure changes as governed evolutionary transactions rather than informal maintenance.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classification, release channels, provenance, rollout, validation, and retirement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Contracts, schemas, coexistence, dependency isolation, and migration gates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Update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Static, simulation, shadow, canary, and post-update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Rollback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point, reverse migration, prior behavior, and incident linkage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Package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Artifact, type, version, source, signatures, dependencies, permissions, migrations, and risk.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Producer/consumer versions, schema, behavior, deprecation, and test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Rollout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Environment, cohort, canary, thresholds, observation, promotion, pause, and rollback.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Rationale, evidence, authorizations, attempts, outcomes, incidents, and final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change as constitutional, kernel, service, adapter, model, schema, configuration, or infrastructure.</w:t>
      </w:r>
    </w:p>
    <w:p>
      <w:pPr>
        <w:pStyle w:val="ListNumber"/>
      </w:pPr>
      <w:r>
        <w:t>Verify signed provenance, dependencies, permissions, compatibility, and vulnerability evidence.</w:t>
      </w:r>
    </w:p>
    <w:p>
      <w:pPr>
        <w:pStyle w:val="ListNumber"/>
      </w:pPr>
      <w:r>
        <w:t>Create recoverable schema/configuration migrations and a tested rollback or compensation path.</w:t>
      </w:r>
    </w:p>
    <w:p>
      <w:pPr>
        <w:pStyle w:val="ListNumber"/>
      </w:pPr>
      <w:r>
        <w:t>Run risk-proportionate static, simulated, shadow, and canary verification.</w:t>
      </w:r>
    </w:p>
    <w:p>
      <w:pPr>
        <w:pStyle w:val="ListNumber"/>
      </w:pPr>
      <w:r>
        <w:t>Obtain protected Owner authorization where the change affects constitutional or guarded behavior.</w:t>
      </w:r>
    </w:p>
    <w:p>
      <w:pPr>
        <w:pStyle w:val="ListNumber"/>
      </w:pPr>
      <w:r>
        <w:t>Roll out in stages with coexistence where needed and continuously compare expected behavior.</w:t>
      </w:r>
    </w:p>
    <w:p>
      <w:pPr>
        <w:pStyle w:val="ListNumber"/>
      </w:pPr>
      <w:r>
        <w:t>Validate after adoption; pause, roll back, compensate, or retire based on evidence.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Unsigned or unverifiable artifact: reject it regardless of claimed urgency.</w:t>
      </w:r>
    </w:p>
    <w:p>
      <w:pPr>
        <w:pStyle w:val="ListBullet"/>
      </w:pPr>
      <w:r>
        <w:t>Migration partially applies: recover from transaction journal and do not declare the new version active.</w:t>
      </w:r>
    </w:p>
    <w:p>
      <w:pPr>
        <w:pStyle w:val="ListBullet"/>
      </w:pPr>
      <w:r>
        <w:t>Behavioral drift after model update: quarantine or rollback the provider and preserve comparison evidence.</w:t>
      </w:r>
    </w:p>
    <w:p>
      <w:pPr>
        <w:pStyle w:val="ListBullet"/>
      </w:pPr>
      <w:r>
        <w:t>Security emergency: accelerate stages only where evidence allows; never disguise governance change as a patch.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adopts change because it is proven suitable, not merely newer.</w:t>
      </w:r>
    </w:p>
    <w:p>
      <w:pPr>
        <w:pStyle w:val="ListBullet"/>
      </w:pPr>
      <w:r>
        <w:t>No maintenance operation may redefine identity, authority, policy, or Constitution by implication.</w:t>
      </w:r>
    </w:p>
    <w:p>
      <w:pPr>
        <w:pStyle w:val="ListBullet"/>
      </w:pPr>
      <w:r>
        <w:t>Version coexistence and migration preserve continuity and reconstructability.</w:t>
      </w:r>
    </w:p>
    <w:p>
      <w:pPr>
        <w:pStyle w:val="ListBullet"/>
      </w:pPr>
      <w:r>
        <w:t>Every adopted change has provenance, verification, disposition, and a recoverability record.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33, 37–39, 43, 50–51, 58.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