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30 — Self-Description and Constitutional Mirror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Maintain a verified model of HAL’s identity, authority, capabilities, limitations, Presences, topology, health, Treaties, and operating state.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7, 28, 38, 40, 45, 47, 49, 51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Maintain a verified model of HAL’s identity, authority, capabilities, limitations, Presences, topology, health, Treaties, and operating state.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Self Model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Canonical self-description assembled from governed registries and evidence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Consistency Checker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Declared-versus-observed identity, authority, policy, capability, and topology validation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Mirror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Signed human-readable snapshots and continuity comparison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Self Explanation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Audience-appropriate answers grounded in verified self-state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Self Model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Identity, Owner, Constitution, authority, capabilities, limitations, Presences, nodes, health, policies, and Treaties.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Limitation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Unavailable/unauthorized capability, cause, confidence, duration, alternatives, and evidence.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Identity Drift Incident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Expected state, observed divergence, evidence, containment, and resolution.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Mirror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Signed versioned snapshot of Constitution, identity, authority, trust, intent, knowledge, topology, health, and pending work.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Read identity, authority, policy, capability, Presence, cluster, Treaty, health, and recovery registries.</w:t>
      </w:r>
    </w:p>
    <w:p>
      <w:pPr>
        <w:pStyle w:val="ListNumber"/>
      </w:pPr>
      <w:r>
        <w:t>Assemble a versioned Self Model without asking an LLM to invent missing self-knowledge.</w:t>
      </w:r>
    </w:p>
    <w:p>
      <w:pPr>
        <w:pStyle w:val="ListNumber"/>
      </w:pPr>
      <w:r>
        <w:t>Compare declared state with independently observed runtime and durable state.</w:t>
      </w:r>
    </w:p>
    <w:p>
      <w:pPr>
        <w:pStyle w:val="ListNumber"/>
      </w:pPr>
      <w:r>
        <w:t>Raise and contain identity drift, unauthorized capability, or unexplained policy divergence.</w:t>
      </w:r>
    </w:p>
    <w:p>
      <w:pPr>
        <w:pStyle w:val="ListNumber"/>
      </w:pPr>
      <w:r>
        <w:t>Answer self-questions from verified records and state explicit limitations or unknowns.</w:t>
      </w:r>
    </w:p>
    <w:p>
      <w:pPr>
        <w:pStyle w:val="ListNumber"/>
      </w:pPr>
      <w:r>
        <w:t>Generate signed Constitutional Mirrors on schedule and before/after material change or recovery.</w:t>
      </w:r>
    </w:p>
    <w:p>
      <w:pPr>
        <w:pStyle w:val="ListNumber"/>
      </w:pPr>
      <w:r>
        <w:t>Compare Mirrors to establish explainable continuity across implementation replacement.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Registry disagreement: report the conflict and lower self-description confidence.</w:t>
      </w:r>
    </w:p>
    <w:p>
      <w:pPr>
        <w:pStyle w:val="ListBullet"/>
      </w:pPr>
      <w:r>
        <w:t>Mirror generation fails: block any workflow that requires a verified continuity checkpoint.</w:t>
      </w:r>
    </w:p>
    <w:p>
      <w:pPr>
        <w:pStyle w:val="ListBullet"/>
      </w:pPr>
      <w:r>
        <w:t>Self Model stale: display last verified time and do not claim current capability.</w:t>
      </w:r>
    </w:p>
    <w:p>
      <w:pPr>
        <w:pStyle w:val="ListBullet"/>
      </w:pPr>
      <w:r>
        <w:t>Identity drift: enter constitutional investigation rather than normal self-healing.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describes itself from verified evidence, never assumption or prompt identity.</w:t>
      </w:r>
    </w:p>
    <w:p>
      <w:pPr>
        <w:pStyle w:val="ListBullet"/>
      </w:pPr>
      <w:r>
        <w:t>Implementation may change while constitutional identity and governed continuity remain intact.</w:t>
      </w:r>
    </w:p>
    <w:p>
      <w:pPr>
        <w:pStyle w:val="ListBullet"/>
      </w:pPr>
      <w:r>
        <w:t>Limitations are first-class self-knowledge and never hidden for conversational convenience.</w:t>
      </w:r>
    </w:p>
    <w:p>
      <w:pPr>
        <w:pStyle w:val="ListBullet"/>
      </w:pPr>
      <w:r>
        <w:t>A Constitutional Mirror explains a backup or recovery point; it does not replace it.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7, 28, 38, 40, 45, 47, 49, 51. Final source-alignment and constitutional disposition is recorded in the batch audit reports; embedded approval text is not treated as review evidence.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Embedded author approval is not conformance evidence. This chapter's constitutional status is determined only by the independent whole-book audit.</w:t>
      </w:r>
    </w:p>
    <w:p>
      <w:pPr>
        <w:pStyle w:val="ListBullet"/>
        <w:keepLines/>
      </w:pPr>
      <w:r>
        <w:t>No substantive constitutional or cross-chapter correction was required in this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