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31 — Human Interaction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 respectful, adaptive, multimodal interaction that reduces cognitive burden while preserving identity, privacy, agency, and the distinction between agreement and authorization.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Articles I, VI, XII; Decisions 8, 27, 31–32, 45–46, 48, 52, 54–57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Provide respectful, adaptive, multimodal interaction that reduces cognitive burden while preserving identity, privacy, agency, and the distinction between agreement and authorization.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state, modality, response mode, handoff, and interruption behavior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Participant Context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 confidence, relationship, delegation, preferences, accessibility, audience, and privacy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Presentation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Voice, text, visual, notification, and technical-depth rendering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Consent and Confirmation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Ordinary confirmation, step-up prompts, and protected authorization boundaries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Session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Participants, Presence, conversation, intent, modality, audience, privacy, and identity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Communication Preference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Person, context, format, verbosity, timing, accessibility, evidence, and override.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Confirmation Request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Exact action, consequence, authority needed, expiry, and accepted response class.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Interruption Decision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Subject, urgency, impact, current focus, delivery mode, deferral, and rationale.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Identify participants and current audience with explicit confidence and privacy scope.</w:t>
      </w:r>
    </w:p>
    <w:p>
      <w:pPr>
        <w:pStyle w:val="ListNumber"/>
      </w:pPr>
      <w:r>
        <w:t>Resolve the active Conversation Object, intent, authority, and communication preferences.</w:t>
      </w:r>
    </w:p>
    <w:p>
      <w:pPr>
        <w:pStyle w:val="ListNumber"/>
      </w:pPr>
      <w:r>
        <w:t>Choose inform, recommend, explore, ask, verify, escalate, or decline according to evidence and consequence.</w:t>
      </w:r>
    </w:p>
    <w:p>
      <w:pPr>
        <w:pStyle w:val="ListNumber"/>
      </w:pPr>
      <w:r>
        <w:t>Render the same governed content appropriately for modality, accessibility, expertise, and context.</w:t>
      </w:r>
    </w:p>
    <w:p>
      <w:pPr>
        <w:pStyle w:val="ListNumber"/>
      </w:pPr>
      <w:r>
        <w:t>Treat casual agreement as deliberative assent only; invoke a separate ceremony for protected action.</w:t>
      </w:r>
    </w:p>
    <w:p>
      <w:pPr>
        <w:pStyle w:val="ListNumber"/>
      </w:pPr>
      <w:r>
        <w:t>Record decisions and open work while minimizing unnecessary sensitive transcript exposure.</w:t>
      </w:r>
    </w:p>
    <w:p>
      <w:pPr>
        <w:pStyle w:val="ListNumber"/>
      </w:pPr>
      <w:r>
        <w:t>Learn communication preferences as revisable evidence, never as authority or immutable personality.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Identity confidence falls: reduce disclosure and require step-up before sensitive continuation.</w:t>
      </w:r>
    </w:p>
    <w:p>
      <w:pPr>
        <w:pStyle w:val="ListBullet"/>
      </w:pPr>
      <w:r>
        <w:t>Audience becomes public: suppress private material and explain the limitation discreetly.</w:t>
      </w:r>
    </w:p>
    <w:p>
      <w:pPr>
        <w:pStyle w:val="ListBullet"/>
      </w:pPr>
      <w:r>
        <w:t>Preferred modality fails: use a safe alternative without changing the underlying answer or authority.</w:t>
      </w:r>
    </w:p>
    <w:p>
      <w:pPr>
        <w:pStyle w:val="ListBullet"/>
      </w:pPr>
      <w:r>
        <w:t>Ambiguous consent: ask a precise question; do not convert social language into authorization.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amplifies human agency and never replaces consequential human judgment.</w:t>
      </w:r>
    </w:p>
    <w:p>
      <w:pPr>
        <w:pStyle w:val="ListBullet"/>
      </w:pPr>
      <w:r>
        <w:t>A person may have privacy and broad delegation without constitutional ownership.</w:t>
      </w:r>
    </w:p>
    <w:p>
      <w:pPr>
        <w:pStyle w:val="ListBullet"/>
      </w:pPr>
      <w:r>
        <w:t>Personalization changes presentation and assistance, not truth, policy, or authority.</w:t>
      </w:r>
    </w:p>
    <w:p>
      <w:pPr>
        <w:pStyle w:val="ListBullet"/>
      </w:pPr>
      <w:r>
        <w:t>Protected action always remains separate, fresh, exact, time-limited, non-replayable, and auditable.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Articles I, VI, XII; Decisions 8, 27, 31–32, 45–46, 48, 52, 54–57.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