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32 — Outcome and Success Architecture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Field</w:t>
            </w:r>
          </w:p>
        </w:tc>
        <w:tc>
          <w:tcPr>
            <w:tcW w:type="dxa" w:w="70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Revised after whole-book constitutional and cross-chapter audit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Version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0.2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Scope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Measure whether HAL helped create the Owner’s intended enduring outcome rather than rewarding task volume, activity, or one optimization metric.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Constitutional basis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Decisions 31, 35, 40, 46, 53–57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Owner review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 unresolved Owner decision after whole-book audit</w:t>
            </w:r>
          </w:p>
        </w:tc>
      </w:tr>
    </w:tbl>
    <w:p>
      <w:pPr>
        <w:pStyle w:val="Heading2"/>
      </w:pPr>
      <w:r>
        <w:t>1. Purpose</w:t>
      </w:r>
    </w:p>
    <w:p>
      <w:r>
        <w:t>Measure whether HAL helped create the Owner’s intended enduring outcome rather than rewarding task volume, activity, or one optimization metric.</w:t>
      </w:r>
    </w:p>
    <w:p>
      <w:pPr>
        <w:pStyle w:val="Heading2"/>
      </w:pPr>
      <w:r>
        <w:t>2. Authoritative Responsibilities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Authoritative responsibility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Outcome Service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Outcome Objects, evidence criteria, horizons, stakeholders, and review cadence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Success Evaluator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Execution, quality, outcome, human impact, and constitutional stewardship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Attribution Service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HAL contribution, other causes, correlation, uncertainty, and luck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Outcome Review Service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Progress, compounding value, prevention, failure, and learning</w:t>
            </w:r>
          </w:p>
        </w:tc>
      </w:tr>
    </w:tbl>
    <w:p>
      <w:pPr>
        <w:pStyle w:val="Heading2"/>
      </w:pPr>
      <w:r>
        <w:t>3. Core State and Records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Object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Required content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Outcome Object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Desired future state, evidence, confidence, horizon, stakeholders, dependencies, risks, reversibility, and review.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Success Assessment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Five success layers, supporting/contradicting evidence, tradeoffs, confidence, and disposition.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Attribution Record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Candidate causes, interventions, counterfactual, external factors, uncertainty, and confidence.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Preventative Outcome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Threat or cost avoided, baseline, intervention, evidence, residual risk, and review.</w:t>
            </w:r>
          </w:p>
        </w:tc>
      </w:tr>
    </w:tbl>
    <w:p>
      <w:pPr>
        <w:pStyle w:val="Heading2"/>
      </w:pPr>
      <w:r>
        <w:t>4. Runtime Workflow</w:t>
      </w:r>
    </w:p>
    <w:p>
      <w:pPr>
        <w:pStyle w:val="ListNumber"/>
      </w:pPr>
      <w:r>
        <w:t>Define outcome and success evidence when the intent is approved, not after activity occurs.</w:t>
      </w:r>
    </w:p>
    <w:p>
      <w:pPr>
        <w:pStyle w:val="ListNumber"/>
      </w:pPr>
      <w:r>
        <w:t>Link plans, decisions, transactions, costs, human attention, and observed state to the Outcome Object.</w:t>
      </w:r>
    </w:p>
    <w:p>
      <w:pPr>
        <w:pStyle w:val="ListNumber"/>
      </w:pPr>
      <w:r>
        <w:t>Evaluate execution and quality without confusing completion with real-world success.</w:t>
      </w:r>
    </w:p>
    <w:p>
      <w:pPr>
        <w:pStyle w:val="ListNumber"/>
      </w:pPr>
      <w:r>
        <w:t>Measure human impact and constitutional stewardship alongside the intended outcome.</w:t>
      </w:r>
    </w:p>
    <w:p>
      <w:pPr>
        <w:pStyle w:val="ListNumber"/>
      </w:pPr>
      <w:r>
        <w:t>Assess attribution honestly using comparison, counterfactual, external factors, and uncertainty.</w:t>
      </w:r>
    </w:p>
    <w:p>
      <w:pPr>
        <w:pStyle w:val="ListNumber"/>
      </w:pPr>
      <w:r>
        <w:t>Recognize compounding work, preventative success, and justified non-action.</w:t>
      </w:r>
    </w:p>
    <w:p>
      <w:pPr>
        <w:pStyle w:val="ListNumber"/>
      </w:pPr>
      <w:r>
        <w:t>Review across immediate, weekly, monthly, yearly, lifetime, and constitutional horizons.</w:t>
      </w:r>
    </w:p>
    <w:p>
      <w:pPr>
        <w:pStyle w:val="Heading2"/>
      </w:pPr>
      <w:r>
        <w:t>5. Interfaces and Contracts</w:t>
      </w:r>
    </w:p>
    <w:p>
      <w:r>
        <w:t>Commands, queries, events, records, and evidence are typed, versioned, authenticated, authorized, correlated, and classified. Mutation is accepted only by the authoritative owner. Every external or reality-changing boundary carries identity, policy, authority, provenance, integrity, time, and transaction context.</w:t>
      </w:r>
    </w:p>
    <w:p>
      <w:pPr>
        <w:pStyle w:val="Heading2"/>
      </w:pPr>
      <w:r>
        <w:t>6. Failure and Recovery</w:t>
      </w:r>
    </w:p>
    <w:p>
      <w:pPr>
        <w:pStyle w:val="ListBullet"/>
      </w:pPr>
      <w:r>
        <w:t>Metric improves while outcome worsens: treat the metric as misleading evidence and revise evaluation.</w:t>
      </w:r>
    </w:p>
    <w:p>
      <w:pPr>
        <w:pStyle w:val="ListBullet"/>
      </w:pPr>
      <w:r>
        <w:t>Outcome cannot be observed: report uncertainty and agree on a proxy without calling it the outcome.</w:t>
      </w:r>
    </w:p>
    <w:p>
      <w:pPr>
        <w:pStyle w:val="ListBullet"/>
      </w:pPr>
      <w:r>
        <w:t>Attribution ambiguous: state contribution bounds rather than claiming causation.</w:t>
      </w:r>
    </w:p>
    <w:p>
      <w:pPr>
        <w:pStyle w:val="ListBullet"/>
      </w:pPr>
      <w:r>
        <w:t>Owner intent changes: version the Outcome Object and preserve prior expectations and results.</w:t>
      </w:r>
    </w:p>
    <w:p>
      <w:pPr>
        <w:pStyle w:val="Heading2"/>
      </w:pPr>
      <w:r>
        <w:t>7. Constitutional Guarantees</w:t>
      </w:r>
    </w:p>
    <w:p>
      <w:pPr>
        <w:pStyle w:val="ListBullet"/>
      </w:pPr>
      <w:r>
        <w:t>Success is enduring outcome plus constitutional integrity, not volume of activity.</w:t>
      </w:r>
    </w:p>
    <w:p>
      <w:pPr>
        <w:pStyle w:val="ListBullet"/>
      </w:pPr>
      <w:r>
        <w:t>HAL never creates work merely to appear useful.</w:t>
      </w:r>
    </w:p>
    <w:p>
      <w:pPr>
        <w:pStyle w:val="ListBullet"/>
      </w:pPr>
      <w:r>
        <w:t>Prevented failures and quiet stable operation may be successful outcomes.</w:t>
      </w:r>
    </w:p>
    <w:p>
      <w:pPr>
        <w:pStyle w:val="ListBullet"/>
      </w:pPr>
      <w:r>
        <w:t>Outcome review feeds learning without rewriting the original intent or decision rationale.</w:t>
      </w:r>
    </w:p>
    <w:p>
      <w:pPr>
        <w:pStyle w:val="Heading2"/>
      </w:pPr>
      <w:r>
        <w:t>8. Prohibited Behaviors</w:t>
      </w:r>
    </w:p>
    <w:p>
      <w:pPr>
        <w:pStyle w:val="ListBullet"/>
      </w:pPr>
      <w:r>
        <w:t>No component may silently broaden or narrow constitutional authority, reinterpret Owner intent, erase dissent, or promote derived state to authority.</w:t>
      </w:r>
    </w:p>
    <w:p>
      <w:pPr>
        <w:pStyle w:val="ListBullet"/>
      </w:pPr>
      <w:r>
        <w:t>No failure, degraded dependency, emergency, or optimization may silently change identity, policy, trust, authentication, evidence, or verification rules.</w:t>
      </w:r>
    </w:p>
    <w:p>
      <w:pPr>
        <w:pStyle w:val="ListBullet"/>
      </w:pPr>
      <w:r>
        <w:t>No model, service, provider, node, Presence, credential, relationship, environment, or network location receives constitutional authority by implication.</w:t>
      </w:r>
    </w:p>
    <w:p>
      <w:pPr>
        <w:pStyle w:val="Heading2"/>
      </w:pPr>
      <w:r>
        <w:t>9. Observability and Verification</w:t>
      </w:r>
    </w:p>
    <w:p>
      <w:r>
        <w:t>The subsystem records identity, correlation, authority/policy context, inputs, state versions, decisions, limitations, failures, recovery, and outcomes. Verification is risk-scaled, reproducible, and stored as durable evidence. Status and explanation derive from governed state rather than model assertion.</w:t>
      </w:r>
    </w:p>
    <w:p>
      <w:pPr>
        <w:pStyle w:val="Heading2"/>
      </w:pPr>
      <w:r>
        <w:t>10. Source Alignment and Review</w:t>
      </w:r>
    </w:p>
    <w:p>
      <w:r>
        <w:t>This chapter implements Decisions 31, 35, 40, 46, 53–57. Final source-alignment and constitutional disposition is recorded in the batch audit reports; embedded approval text is not treated as review evidence.</w:t>
      </w:r>
    </w:p>
    <w:p>
      <w:pPr>
        <w:pStyle w:val="Heading2"/>
        <w:keepNext/>
      </w:pPr>
      <w:r>
        <w:t>Whole-Book Audit Resolution</w:t>
      </w:r>
    </w:p>
    <w:p>
      <w:pPr>
        <w:keepNext/>
      </w:pPr>
      <w:r>
        <w:t>The following requirements supersede any ambiguous earlier wording in this chapter and are incorporated into this edition:</w:t>
      </w:r>
    </w:p>
    <w:p>
      <w:pPr>
        <w:pStyle w:val="ListBullet"/>
        <w:keepLines/>
      </w:pPr>
      <w:r>
        <w:t>Embedded author approval is not conformance evidence. This chapter's constitutional status is determined only by the independent whole-book audit.</w:t>
      </w:r>
    </w:p>
    <w:p>
      <w:pPr>
        <w:pStyle w:val="ListBullet"/>
        <w:keepLines/>
      </w:pPr>
      <w:r>
        <w:t>No substantive constitutional or cross-chapter correction was required in this edition.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Book II • Architecture Specification • </w:t>
    </w:r>
    <w:r>
      <w:t xml:space="preserve">Page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7" w:space="6" w:color="C8D4E3"/>
      </w:pBdr>
    </w:pPr>
    <w:r>
      <w:rPr>
        <w:color w:val="5B6573"/>
        <w:sz w:val="16"/>
      </w:rPr>
      <w:t>HAL — BOOK II: CHAPTER 32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634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ind w:left="720" w:hanging="3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Revised after full Book II constitutional and cross-chapter audit.</dc:description>
  <cp:lastModifiedBy/>
  <cp:revision>1</cp:revision>
  <dcterms:created xsi:type="dcterms:W3CDTF">2013-12-23T23:15:00Z</dcterms:created>
  <dcterms:modified xsi:type="dcterms:W3CDTF">2013-12-23T23:15:00Z</dcterms:modified>
  <cp:category/>
  <cp:version>0.2</cp:version>
</cp:coreProperties>
</file>