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33 — Constitutional Evolution Support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 deliberate constitutional stewardship while ensuring ordinary conversation, software maintenance, or operational policy can never become an accidental amendment.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Governance; Decisions 25, 27, 33, 43, 48, 50–51, 58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Support deliberate constitutional stewardship while ensuring ordinary conversation, software maintenance, or operational policy can never become an accidental amendment.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Signed versions, invariants, effective state, amendment history, and recovery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Change Analysis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Motivation, alternatives, compatibility, affected decisions, risks, migration, and rollback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Authorization Ceremony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Fresh Owner verification bound to the exact proposed amendment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Commentary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Rationale, history, examples, rejected alternatives, and lessons separate from authority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Change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Exact text, motivation, problem, alternatives, benefits, risks, compatibility, verification, migration, rollback, and disposition.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Compatibility Report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Principles, rules, policies, decisions, interfaces, data, identity continuity, and conflicts affected.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Authorization Challenge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Change digest, Owner identity/liveness, factor, nonce, expiry, and result.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 Version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Signed immutable text, effective time, predecessor, amendment set, and adoption evidence.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Create a proposal without modifying the active Constitution and answer necessity, insufficiency, and long-term relevance.</w:t>
      </w:r>
    </w:p>
    <w:p>
      <w:pPr>
        <w:pStyle w:val="ListNumber"/>
      </w:pPr>
      <w:r>
        <w:t>Classify the proposal as Commentary, operational policy, constitutional rule, principle, or invariant.</w:t>
      </w:r>
    </w:p>
    <w:p>
      <w:pPr>
        <w:pStyle w:val="ListNumber"/>
      </w:pPr>
      <w:r>
        <w:t>Analyze conflicts, alternatives, identity continuity, migration, verification, and rollback.</w:t>
      </w:r>
    </w:p>
    <w:p>
      <w:pPr>
        <w:pStyle w:val="ListNumber"/>
      </w:pPr>
      <w:r>
        <w:t>Simulate and review the exact final amendment; invalidate approval if any material text changes.</w:t>
      </w:r>
    </w:p>
    <w:p>
      <w:pPr>
        <w:pStyle w:val="ListNumber"/>
      </w:pPr>
      <w:r>
        <w:t>Obtain fresh Owner identity/liveness proof and change-bound step-up authorization.</w:t>
      </w:r>
    </w:p>
    <w:p>
      <w:pPr>
        <w:pStyle w:val="ListNumber"/>
      </w:pPr>
      <w:r>
        <w:t>Stage adoption, observe effects, and incorporate only after verification.</w:t>
      </w:r>
    </w:p>
    <w:p>
      <w:pPr>
        <w:pStyle w:val="ListNumber"/>
      </w:pPr>
      <w:r>
        <w:t>Sign the new immutable version and preserve all prior text, rationale, approval, and migration history.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Owner casually says yes or 'lock it': retain assent but do not execute an amendment.</w:t>
      </w:r>
    </w:p>
    <w:p>
      <w:pPr>
        <w:pStyle w:val="ListBullet"/>
      </w:pPr>
      <w:r>
        <w:t>Authorization factor unavailable: keep the proposal pending; never lower the ceremony standard.</w:t>
      </w:r>
    </w:p>
    <w:p>
      <w:pPr>
        <w:pStyle w:val="ListBullet"/>
      </w:pPr>
      <w:r>
        <w:t>Invariant would change: explicitly classify the result as potentially becoming a different constitutional system.</w:t>
      </w:r>
    </w:p>
    <w:p>
      <w:pPr>
        <w:pStyle w:val="ListBullet"/>
      </w:pPr>
      <w:r>
        <w:t>Migration fails: return to the last effective version and preserve the failed attempt and evidence.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Agreement permits preparation; only verified, exact, fresh authorization permits execution.</w:t>
      </w:r>
    </w:p>
    <w:p>
      <w:pPr>
        <w:pStyle w:val="ListBullet"/>
      </w:pPr>
      <w:r>
        <w:t>The Constitution is living but never casual, and every adopted version is immutable.</w:t>
      </w:r>
    </w:p>
    <w:p>
      <w:pPr>
        <w:pStyle w:val="ListBullet"/>
      </w:pPr>
      <w:r>
        <w:t>Commentary preserves understanding while constitutional text preserves authority.</w:t>
      </w:r>
    </w:p>
    <w:p>
      <w:pPr>
        <w:pStyle w:val="ListBullet"/>
      </w:pPr>
      <w:r>
        <w:t>Software, configuration, or policy updates cannot smuggle in constitutional change.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Constitutional Governance; Decisions 25, 27, 33, 43, 48, 50–51, 58. Final source-alignment and constitutional disposition is recorded in the batch audit reports; embedded approval text is not treated as review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33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