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33 — Constitutional Evolution Support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Revised after whole-book constitutional and cross-chapter audit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0.2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Support deliberate constitutional stewardship while ensuring ordinary conversation, software maintenance, or operational policy can never become an accidental amendment.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Governance; Decisions 25, 27, 33, 43, 48, 50–51, 58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unresolved Owner decision after whole-book audit</w:t>
            </w:r>
          </w:p>
        </w:tc>
      </w:tr>
    </w:tbl>
    <w:p>
      <w:pPr>
        <w:pStyle w:val="Heading2"/>
      </w:pPr>
      <w:r>
        <w:t>1. Purpose</w:t>
      </w:r>
    </w:p>
    <w:p>
      <w:r>
        <w:t>Support deliberate constitutional stewardship while ensuring ordinary conversation, software maintenance, or operational policy can never become an accidental amendment.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 Manager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Signed versions, invariants, effective state, amendment history, and recovery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Change Analysis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Motivation, alternatives, compatibility, affected decisions, risks, migration, and rollback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Authorization Ceremony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Fresh Owner verification bound to the exact proposed amendment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Commentary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Rationale, history, examples, rejected alternatives, and lessons separate from authority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Change Object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Exact text, motivation, problem, alternatives, benefits, risks, compatibility, verification, migration, rollback, and disposition.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Compatibility Report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Principles, rules, policies, decisions, interfaces, data, identity continuity, and conflicts affected.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Authorization Challenge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Change digest, Owner identity/liveness, factor, nonce, expiry, and result.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 Version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Signed immutable text, effective time, predecessor, amendment set, and adoption evidence.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Create a proposal without modifying the active Constitution and answer necessity, insufficiency, and long-term relevance.</w:t>
      </w:r>
    </w:p>
    <w:p>
      <w:pPr>
        <w:pStyle w:val="ListNumber"/>
      </w:pPr>
      <w:r>
        <w:t>Classify the proposal as Commentary, operational policy, constitutional rule, principle, or invariant.</w:t>
      </w:r>
    </w:p>
    <w:p>
      <w:pPr>
        <w:pStyle w:val="ListNumber"/>
      </w:pPr>
      <w:r>
        <w:t>Analyze conflicts, alternatives, identity continuity, migration, verification, and rollback.</w:t>
      </w:r>
    </w:p>
    <w:p>
      <w:pPr>
        <w:pStyle w:val="ListNumber"/>
      </w:pPr>
      <w:r>
        <w:t>Simulate and review the exact final amendment; invalidate approval if any material text changes.</w:t>
      </w:r>
    </w:p>
    <w:p>
      <w:pPr>
        <w:pStyle w:val="ListNumber"/>
      </w:pPr>
      <w:r>
        <w:t>Obtain fresh Owner identity/liveness proof and change-bound step-up authorization.</w:t>
      </w:r>
    </w:p>
    <w:p>
      <w:pPr>
        <w:pStyle w:val="ListNumber"/>
      </w:pPr>
      <w:r>
        <w:t>Stage adoption, observe effects, and incorporate only after verification.</w:t>
      </w:r>
    </w:p>
    <w:p>
      <w:pPr>
        <w:pStyle w:val="ListNumber"/>
      </w:pPr>
      <w:r>
        <w:t>Sign the new immutable version and preserve all prior text, rationale, approval, and migration history.</w:t>
      </w:r>
    </w:p>
    <w:p>
      <w:pPr>
        <w:pStyle w:val="Heading2"/>
      </w:pPr>
      <w:r>
        <w:t>5. Interfaces and Contracts</w:t>
      </w:r>
    </w:p>
    <w:p>
      <w:r>
        <w:t>Commands, queries, events, records, and evidence are typed, versioned, authenticated, authorized, correlated, and classified. Mutation is accepted only by the authoritative owner. Every external or reality-changing boundary carries identity, policy, authority, provenance, integrity, time, and transaction context.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Owner casually says yes or 'lock it': retain assent but do not execute an amendment.</w:t>
      </w:r>
    </w:p>
    <w:p>
      <w:pPr>
        <w:pStyle w:val="ListBullet"/>
      </w:pPr>
      <w:r>
        <w:t>Authorization factor unavailable: keep the proposal pending; never lower the ceremony standard.</w:t>
      </w:r>
    </w:p>
    <w:p>
      <w:pPr>
        <w:pStyle w:val="ListBullet"/>
      </w:pPr>
      <w:r>
        <w:t>Invariant would change: explicitly classify the result as potentially becoming a different constitutional system.</w:t>
      </w:r>
    </w:p>
    <w:p>
      <w:pPr>
        <w:pStyle w:val="ListBullet"/>
      </w:pPr>
      <w:r>
        <w:t>Migration fails: return to the last effective version and preserve the failed attempt and evidence.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Agreement permits preparation; only verified, exact, fresh authorization permits execution.</w:t>
      </w:r>
    </w:p>
    <w:p>
      <w:pPr>
        <w:pStyle w:val="ListBullet"/>
      </w:pPr>
      <w:r>
        <w:t>The Constitution is living but never casual, and every adopted version is immutable.</w:t>
      </w:r>
    </w:p>
    <w:p>
      <w:pPr>
        <w:pStyle w:val="ListBullet"/>
      </w:pPr>
      <w:r>
        <w:t>Commentary preserves understanding while constitutional text preserves authority.</w:t>
      </w:r>
    </w:p>
    <w:p>
      <w:pPr>
        <w:pStyle w:val="ListBullet"/>
      </w:pPr>
      <w:r>
        <w:t>Software, configuration, or policy updates cannot smuggle in constitutional change.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or narrow constitutional authority, reinterpret Owner intent, erase dissent, or promote derived state to authority.</w:t>
      </w:r>
    </w:p>
    <w:p>
      <w:pPr>
        <w:pStyle w:val="ListBullet"/>
      </w:pPr>
      <w:r>
        <w:t>No failure, degraded dependency, emergency, or optimization may silently change identity, policy, trust, authentication, evidence, or verification rules.</w:t>
      </w:r>
    </w:p>
    <w:p>
      <w:pPr>
        <w:pStyle w:val="ListBullet"/>
      </w:pPr>
      <w:r>
        <w:t>No model, service, provider, node, Presence, credential, relationship, environment,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identity, correlation, authority/policy context, inputs, state versions, decisions, limitations, failures, recovery, and outcomes. Verification is risk-scaled, reproducible, and stored as durable evidence. Status and explanation derive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implements Constitutional Governance; Decisions 25, 27, 33, 43, 48, 50–51, 58. Final source-alignment and constitutional disposition is recorded in the batch audit reports; embedded approval text is not treated as review evidence.</w:t>
      </w:r>
    </w:p>
    <w:p>
      <w:pPr>
        <w:pStyle w:val="Heading2"/>
        <w:keepNext/>
      </w:pPr>
      <w:r>
        <w:t>Whole-Book Audit Resolution</w:t>
      </w:r>
    </w:p>
    <w:p>
      <w:pPr>
        <w:keepNext/>
      </w:pPr>
      <w:r>
        <w:t>The following requirements supersede any ambiguous earlier wording in this chapter and are incorporated into this edition:</w:t>
      </w:r>
    </w:p>
    <w:p>
      <w:pPr>
        <w:pStyle w:val="ListBullet"/>
        <w:keepLines/>
      </w:pPr>
      <w:r>
        <w:t>An invariant change requires two separate Owner Authorization Ceremonies bound to the exact unchanged proposal.</w:t>
      </w:r>
    </w:p>
    <w:p>
      <w:pPr>
        <w:pStyle w:val="ListBullet"/>
        <w:keepLines/>
      </w:pPr>
      <w:r>
        <w:t>The ceremonies are separated by a mandatory 72-hour cooling-off period.</w:t>
      </w:r>
    </w:p>
    <w:p>
      <w:pPr>
        <w:pStyle w:val="ListBullet"/>
        <w:keepLines/>
      </w:pPr>
      <w:r>
        <w:t>Before the second ceremony, HAL creates a signed Constitutional Mirror and independently verified recovery point for the predecessor system.</w:t>
      </w:r>
    </w:p>
    <w:p>
      <w:pPr>
        <w:pStyle w:val="ListBullet"/>
        <w:keepLines/>
      </w:pPr>
      <w:r>
        <w:t>The final compatibility report explicitly classifies whether the result preserves HAL identity or creates a successor constitutional system.</w:t>
      </w:r>
    </w:p>
    <w:p>
      <w:pPr>
        <w:pStyle w:val="ListBullet"/>
        <w:keepLines/>
      </w:pPr>
      <w:r>
        <w:t>Any material proposal change restarts the complete process. The predecessor Constitution, state, authorization, and migration evidence are preserved permanently.</w:t>
      </w:r>
    </w:p>
    <w:p>
      <w:pPr>
        <w:pStyle w:val="ListBullet"/>
        <w:keepLines/>
      </w:pPr>
      <w:r>
        <w:t>Until the extraordinary process completes, invariant changes may be analyzed and simulated but never executed.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33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Revised after full Book II constitutional and cross-chapter audit.</dc:description>
  <cp:lastModifiedBy/>
  <cp:revision>1</cp:revision>
  <dcterms:created xsi:type="dcterms:W3CDTF">2013-12-23T23:15:00Z</dcterms:created>
  <dcterms:modified xsi:type="dcterms:W3CDTF">2013-12-23T23:15:00Z</dcterms:modified>
  <cp:category/>
  <cp:version>0.2</cp:version>
</cp:coreProperties>
</file>