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34 — Deployment Topologies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Define deployable HAL topologies that preserve one active constitutional control plane while allowing distributed, replaceable execution and multiple Presences.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1–2, 17–24, 29, 37–43, 45, 47, 51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Define deployable HAL topologies that preserve one active constitutional control plane while allowing distributed, replaceable execution and multiple Presences.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Deployment Controller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Topology manifest, environment, service placement, versions, dependencies, and desired state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HAL Core Runtime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kernel, governance, identity, authority, policy, canonical coordination, and audit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HAL Node Runtime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Authenticated capability execution, local health, bounded cache, evidence, and restricted offline mode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Presence Runtime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Device interaction, sensors/outputs, privacy context, and non-authoritative local state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Deployment Manifest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Environment, hosts, services, identities, networks, storage, policies, versions, and recovery profile.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Core Host Profile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Dedicated Mac mini or successor, kernel services, canonical storage, security, observability, and reserve.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Node Profile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GX10 or future compute node identity, capabilities, resource limits, software, health, and delegation.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Environment Boundary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Simulation, test, shadow, canary, production, recovery, or emergency with permitted effects.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Validate deployment manifest, host identities, signed artifacts, configuration, secrets, and network boundaries.</w:t>
      </w:r>
    </w:p>
    <w:p>
      <w:pPr>
        <w:pStyle w:val="ListNumber"/>
      </w:pPr>
      <w:r>
        <w:t>Bootstrap the dedicated HAL Core control plane and establish the constitutional lease; a recovery successor lease is capped at 24 hours and every extension requires fresh Owner authorization.</w:t>
      </w:r>
    </w:p>
    <w:p>
      <w:pPr>
        <w:pStyle w:val="ListNumber"/>
      </w:pPr>
      <w:r>
        <w:t>Restore or initialize Constitution, Owner identity, authority, policy, audit, ledgers, and canonical state.</w:t>
      </w:r>
    </w:p>
    <w:p>
      <w:pPr>
        <w:pStyle w:val="ListNumber"/>
      </w:pPr>
      <w:r>
        <w:t>Join compute nodes through the controlled recovery/join pipeline and advertise verified capabilities.</w:t>
      </w:r>
    </w:p>
    <w:p>
      <w:pPr>
        <w:pStyle w:val="ListNumber"/>
      </w:pPr>
      <w:r>
        <w:t>Start replaceable services and Presences only after their dependencies and authority boundaries are ready.</w:t>
      </w:r>
    </w:p>
    <w:p>
      <w:pPr>
        <w:pStyle w:val="ListNumber"/>
      </w:pPr>
      <w:r>
        <w:t>Route execution dynamically while governance and canonical state remain controlled by HAL Core.</w:t>
      </w:r>
    </w:p>
    <w:p>
      <w:pPr>
        <w:pStyle w:val="ListNumber"/>
      </w:pPr>
      <w:r>
        <w:t>Continuously reconcile desired and observed topology and test recovery into an isolated environment.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Core unavailable: nodes retain only bounded delegated work; no node becomes an equal independent HAL.</w:t>
      </w:r>
    </w:p>
    <w:p>
      <w:pPr>
        <w:pStyle w:val="ListBullet"/>
      </w:pPr>
      <w:r>
        <w:t>Node unavailable: reassign compatible execution or disclose degraded capability.</w:t>
      </w:r>
    </w:p>
    <w:p>
      <w:pPr>
        <w:pStyle w:val="ListBullet"/>
      </w:pPr>
      <w:r>
        <w:t>Environment boundary uncertain: block real-world effects until production identity is proven.</w:t>
      </w:r>
    </w:p>
    <w:p>
      <w:pPr>
        <w:pStyle w:val="ListBullet"/>
      </w:pPr>
      <w:r>
        <w:t>Topology drift: reconcile ordinary changes; escalate identity, policy, or constitutional divergence.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The reference household topology is one dedicated HAL Core with lightweight node and Presence runtimes.</w:t>
      </w:r>
    </w:p>
    <w:p>
      <w:pPr>
        <w:pStyle w:val="ListBullet"/>
      </w:pPr>
      <w:r>
        <w:t>Distributed execution never distributes constitutional ownership.</w:t>
      </w:r>
    </w:p>
    <w:p>
      <w:pPr>
        <w:pStyle w:val="ListBullet"/>
      </w:pPr>
      <w:r>
        <w:t>Topology and hardware may evolve without changing HAL identity or capability contracts.</w:t>
      </w:r>
    </w:p>
    <w:p>
      <w:pPr>
        <w:pStyle w:val="ListBullet"/>
      </w:pPr>
      <w:r>
        <w:t>Simulation, test, recovery, and production deployments cannot accidentally share reality-changing authority.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1–2, 17–24, 29, 37–43, 45, 47, 51. Final source-alignment and constitutional disposition is recorded in the batch audit reports; embedded approval text is not treated as review evidence.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The Mac mini is the normal Primary Constitutional Host, not an irreplaceable identity anchor.</w:t>
      </w:r>
    </w:p>
    <w:p>
      <w:pPr>
        <w:pStyle w:val="ListBullet"/>
        <w:keepLines/>
      </w:pPr>
      <w:r>
        <w:t>Only one active constitutional control plane may hold a valid lease.</w:t>
      </w:r>
    </w:p>
    <w:p>
      <w:pPr>
        <w:pStyle w:val="ListBullet"/>
        <w:keepLines/>
      </w:pPr>
      <w:r>
        <w:t>A pre-registered successor may hold a verified recovery lease for no more than 24 hours; extensions require fresh Owner authorization and permanent reassignment requires the Owner Authorization Ceremony.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34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