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35 — Architecture Conformance and Certification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Source-aligned; architecture audit passed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0.1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Prove that Book II and its implementations satisfy Book I through bidirectional traceability, executable conformance evidence, independent review, and time-bounded certification.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All Articles and Decisions 1–58; especially Decisions 25, 37–43, 47–51, 58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None required</w:t>
            </w:r>
          </w:p>
        </w:tc>
      </w:tr>
    </w:tbl>
    <w:p>
      <w:pPr>
        <w:pStyle w:val="Heading2"/>
      </w:pPr>
      <w:r>
        <w:t>1. Purpose</w:t>
      </w:r>
    </w:p>
    <w:p>
      <w:r>
        <w:t>Prove that Book II and its implementations satisfy Book I through bidirectional traceability, executable conformance evidence, independent review, and time-bounded certification.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Conformance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Requirement catalog, tests, evidence, waivers, coverage, and certification state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Traceability Registry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Book I requirement to architecture, component, interface, control, evidence, and verification mapping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Independent Review Coordinator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Reviewer separation, findings, remediation, and attestation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Certification Authority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Scope, version, environment, result, limitations, expiry, and revocation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Requirement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 article/decision, normative statement, interpretation, invariants, and affected architecture.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Conformance Case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Claim, implementation scope, controls, tests, evidence, exceptions, reviewer, and result.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Nonconformance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Requirement, evidence, severity, affected scope, containment, remediation, and disposition.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Certification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Book/implementation versions, environment, coverage, reviewers, findings, limitations, issue/expiry, and signatures.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Extract normative Book I requirements and assign stable identifiers without rewriting their meaning.</w:t>
      </w:r>
    </w:p>
    <w:p>
      <w:pPr>
        <w:pStyle w:val="ListNumber"/>
      </w:pPr>
      <w:r>
        <w:t>Map each requirement to Book II chapters, authoritative components, interfaces, controls, evidence, and tests.</w:t>
      </w:r>
    </w:p>
    <w:p>
      <w:pPr>
        <w:pStyle w:val="ListNumber"/>
      </w:pPr>
      <w:r>
        <w:t>Map each major component back to a constitutional or necessary engineering rationale.</w:t>
      </w:r>
    </w:p>
    <w:p>
      <w:pPr>
        <w:pStyle w:val="ListNumber"/>
      </w:pPr>
      <w:r>
        <w:t>Execute structural, security, privacy, recovery, Reality Boundary, authorization, and failure tests.</w:t>
      </w:r>
    </w:p>
    <w:p>
      <w:pPr>
        <w:pStyle w:val="ListNumber"/>
      </w:pPr>
      <w:r>
        <w:t>Have independent review disregard embedded self-approval and examine unresolved assumptions and exceptions.</w:t>
      </w:r>
    </w:p>
    <w:p>
      <w:pPr>
        <w:pStyle w:val="ListNumber"/>
      </w:pPr>
      <w:r>
        <w:t>Remediate internally resolvable defects; escalate only genuine Owner-level constitutional choices.</w:t>
      </w:r>
    </w:p>
    <w:p>
      <w:pPr>
        <w:pStyle w:val="ListNumber"/>
      </w:pPr>
      <w:r>
        <w:t>Issue a signed, scoped, time-bounded certification or explicit nonconformance report.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Requirement unmapped: certification fails for completeness even if no direct contradiction is visible.</w:t>
      </w:r>
    </w:p>
    <w:p>
      <w:pPr>
        <w:pStyle w:val="ListBullet"/>
      </w:pPr>
      <w:r>
        <w:t>Evidence stale or environment changed: suspend or expire the affected certification.</w:t>
      </w:r>
    </w:p>
    <w:p>
      <w:pPr>
        <w:pStyle w:val="ListBullet"/>
      </w:pPr>
      <w:r>
        <w:t>Test passes but design violates an invariant: constitutional meaning prevails over implementation evidence.</w:t>
      </w:r>
    </w:p>
    <w:p>
      <w:pPr>
        <w:pStyle w:val="ListBullet"/>
      </w:pPr>
      <w:r>
        <w:t>Owner waiver requested for invariant conflict: treat it as a constitutional change, not an engineering exception.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Book I always prevails over Book II, implementation, configuration, and test artifacts.</w:t>
      </w:r>
    </w:p>
    <w:p>
      <w:pPr>
        <w:pStyle w:val="ListBullet"/>
      </w:pPr>
      <w:r>
        <w:t>No component exists without constitutional or necessary engineering rationale.</w:t>
      </w:r>
    </w:p>
    <w:p>
      <w:pPr>
        <w:pStyle w:val="ListBullet"/>
      </w:pPr>
      <w:r>
        <w:t>Certification is scoped evidence, not permanent self-approval.</w:t>
      </w:r>
    </w:p>
    <w:p>
      <w:pPr>
        <w:pStyle w:val="ListBullet"/>
      </w:pPr>
      <w:r>
        <w:t>A known material defect or unmapped requirement prevents a claim of complete conformance.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All Articles and Decisions 1–58; especially Decisions 25, 37–43, 47–51, 58. Final source-alignment and constitutional disposition is recorded in the batch audit reports; embedded approval text is not treated as review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35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