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35 — Architecture Conformance and Certification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Revised after whole-book constitutional and cross-chapter audit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Version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0.2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Prove that Book II and its implementations satisfy Book I through bidirectional traceability, executable conformance evidence, independent review, and time-bounded certification.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basis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 Articles and Decisions 1–58; especially Decisions 25, 37–43, 47–51, 58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Owner review</w:t>
            </w:r>
          </w:p>
        </w:tc>
        <w:tc>
          <w:tcPr>
            <w:tcW w:type="dxa" w:w="70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unresolved Owner decision after whole-book audit</w:t>
            </w:r>
          </w:p>
        </w:tc>
      </w:tr>
    </w:tbl>
    <w:p>
      <w:pPr>
        <w:pStyle w:val="Heading2"/>
      </w:pPr>
      <w:r>
        <w:t>1. Purpose</w:t>
      </w:r>
    </w:p>
    <w:p>
      <w:r>
        <w:t>Prove that Book II and its implementations satisfy Book I through bidirectional traceability, executable conformance evidence, independent review, and time-bounded certification.</w:t>
      </w:r>
    </w:p>
    <w:p>
      <w:pPr>
        <w:pStyle w:val="Heading2"/>
      </w:pPr>
      <w:r>
        <w:t>2. Authoritative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Authoritative responsibility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Conformance Service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Requirement catalog, tests, evidence, waivers, coverage, and certification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Traceability Registry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Book I requirement to architecture, component, interface, control, evidence, and verification mapping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Independent Review Coordinator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Reviewer separation, findings, remediation, and attestation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Certification Authority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Scope, version, environment, result, limitations, expiry, and revocation</w:t>
            </w:r>
          </w:p>
        </w:tc>
      </w:tr>
    </w:tbl>
    <w:p>
      <w:pPr>
        <w:pStyle w:val="Heading2"/>
      </w:pPr>
      <w:r>
        <w:t>3. Core State and Records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Object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Required content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Constitutional Requirement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 article/decision, normative statement, interpretation, invariants, and affected architecture.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Conformance Case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Claim, implementation scope, controls, tests, evidence, exceptions, reviewer, and result.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Nonconformance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Requirement, evidence, severity, affected scope, containment, remediation, and disposition.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Certification Record</w:t>
            </w:r>
          </w:p>
        </w:tc>
        <w:tc>
          <w:tcPr>
            <w:tcW w:type="dxa" w:w="64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Book/implementation versions, environment, coverage, reviewers, findings, limitations, issue/expiry, and signatures.</w:t>
            </w:r>
          </w:p>
        </w:tc>
      </w:tr>
    </w:tbl>
    <w:p>
      <w:pPr>
        <w:pStyle w:val="Heading2"/>
      </w:pPr>
      <w:r>
        <w:t>4. Runtime Workflow</w:t>
      </w:r>
    </w:p>
    <w:p>
      <w:pPr>
        <w:pStyle w:val="ListNumber"/>
      </w:pPr>
      <w:r>
        <w:t>Extract normative Book I requirements and assign stable identifiers without rewriting their meaning.</w:t>
      </w:r>
    </w:p>
    <w:p>
      <w:pPr>
        <w:pStyle w:val="ListNumber"/>
      </w:pPr>
      <w:r>
        <w:t>Map each requirement to Book II chapters, authoritative components, interfaces, controls, evidence, and tests.</w:t>
      </w:r>
    </w:p>
    <w:p>
      <w:pPr>
        <w:pStyle w:val="ListNumber"/>
      </w:pPr>
      <w:r>
        <w:t>Map each major component back to a constitutional or necessary engineering rationale.</w:t>
      </w:r>
    </w:p>
    <w:p>
      <w:pPr>
        <w:pStyle w:val="ListNumber"/>
      </w:pPr>
      <w:r>
        <w:t>Execute structural, security, privacy, recovery, Reality Boundary, authorization, and failure tests.</w:t>
      </w:r>
    </w:p>
    <w:p>
      <w:pPr>
        <w:pStyle w:val="ListNumber"/>
      </w:pPr>
      <w:r>
        <w:t>Have independent review disregard embedded self-approval and examine unresolved assumptions and exceptions.</w:t>
      </w:r>
    </w:p>
    <w:p>
      <w:pPr>
        <w:pStyle w:val="ListNumber"/>
      </w:pPr>
      <w:r>
        <w:t>Remediate internally resolvable defects; escalate only genuine Owner-level constitutional choices.</w:t>
      </w:r>
    </w:p>
    <w:p>
      <w:pPr>
        <w:pStyle w:val="ListNumber"/>
      </w:pPr>
      <w:r>
        <w:t>Issue a signed, scoped, time-bounded certification or explicit nonconformance report.</w:t>
      </w:r>
    </w:p>
    <w:p>
      <w:pPr>
        <w:pStyle w:val="Heading2"/>
      </w:pPr>
      <w:r>
        <w:t>5. Interfaces and Contracts</w:t>
      </w:r>
    </w:p>
    <w:p>
      <w:r>
        <w:t>Commands, queries, events, records, and evidence are typed, versioned, authenticated, authorized, correlated, and classified. Mutation is accepted only by the authoritative owner. Every external or reality-changing boundary carries identity, policy, authority, provenance, integrity, time, and transaction context.</w:t>
      </w:r>
    </w:p>
    <w:p>
      <w:pPr>
        <w:pStyle w:val="Heading2"/>
      </w:pPr>
      <w:r>
        <w:t>6. Failure and Recovery</w:t>
      </w:r>
    </w:p>
    <w:p>
      <w:pPr>
        <w:pStyle w:val="ListBullet"/>
      </w:pPr>
      <w:r>
        <w:t>Requirement unmapped: certification fails for completeness even if no direct contradiction is visible.</w:t>
      </w:r>
    </w:p>
    <w:p>
      <w:pPr>
        <w:pStyle w:val="ListBullet"/>
      </w:pPr>
      <w:r>
        <w:t>Evidence stale or environment changed: suspend or expire the affected certification.</w:t>
      </w:r>
    </w:p>
    <w:p>
      <w:pPr>
        <w:pStyle w:val="ListBullet"/>
      </w:pPr>
      <w:r>
        <w:t>Test passes but design violates an invariant: constitutional meaning prevails over implementation evidence.</w:t>
      </w:r>
    </w:p>
    <w:p>
      <w:pPr>
        <w:pStyle w:val="ListBullet"/>
      </w:pPr>
      <w:r>
        <w:t>Owner waiver requested for invariant conflict: treat it as a constitutional change, not an engineering exception.</w:t>
      </w:r>
    </w:p>
    <w:p>
      <w:pPr>
        <w:pStyle w:val="Heading2"/>
      </w:pPr>
      <w:r>
        <w:t>7. Constitutional Guarantees</w:t>
      </w:r>
    </w:p>
    <w:p>
      <w:pPr>
        <w:pStyle w:val="ListBullet"/>
      </w:pPr>
      <w:r>
        <w:t>Book I always prevails over Book II, implementation, configuration, and test artifacts.</w:t>
      </w:r>
    </w:p>
    <w:p>
      <w:pPr>
        <w:pStyle w:val="ListBullet"/>
      </w:pPr>
      <w:r>
        <w:t>No component exists without constitutional or necessary engineering rationale.</w:t>
      </w:r>
    </w:p>
    <w:p>
      <w:pPr>
        <w:pStyle w:val="ListBullet"/>
      </w:pPr>
      <w:r>
        <w:t>Certification is scoped evidence, not permanent self-approval.</w:t>
      </w:r>
    </w:p>
    <w:p>
      <w:pPr>
        <w:pStyle w:val="ListBullet"/>
      </w:pPr>
      <w:r>
        <w:t>A known material defect or unmapped requirement prevents a claim of complete conformance.</w:t>
      </w:r>
    </w:p>
    <w:p>
      <w:pPr>
        <w:pStyle w:val="Heading2"/>
      </w:pPr>
      <w:r>
        <w:t>8. Prohibited Behaviors</w:t>
      </w:r>
    </w:p>
    <w:p>
      <w:pPr>
        <w:pStyle w:val="ListBullet"/>
      </w:pPr>
      <w:r>
        <w:t>No component may silently broaden or narrow constitutional authority, reinterpret Owner intent, erase dissent, or promote derived state to authority.</w:t>
      </w:r>
    </w:p>
    <w:p>
      <w:pPr>
        <w:pStyle w:val="ListBullet"/>
      </w:pPr>
      <w:r>
        <w:t>No failure, degraded dependency, emergency, or optimization may silently change identity, policy, trust, authentication, evidence, or verification rules.</w:t>
      </w:r>
    </w:p>
    <w:p>
      <w:pPr>
        <w:pStyle w:val="ListBullet"/>
      </w:pPr>
      <w:r>
        <w:t>No model, service, provider, node, Presence, credential, relationship, environment, or network location receives constitutional authority by implication.</w:t>
      </w:r>
    </w:p>
    <w:p>
      <w:pPr>
        <w:pStyle w:val="Heading2"/>
      </w:pPr>
      <w:r>
        <w:t>9. Observability and Verification</w:t>
      </w:r>
    </w:p>
    <w:p>
      <w:r>
        <w:t>The subsystem records identity, correlation, authority/policy context, inputs, state versions, decisions, limitations, failures, recovery, and outcomes. Verification is risk-scaled, reproducible, and stored as durable evidence. Status and explanation derive from governed state rather than model assertion.</w:t>
      </w:r>
    </w:p>
    <w:p>
      <w:pPr>
        <w:pStyle w:val="Heading2"/>
      </w:pPr>
      <w:r>
        <w:t>10. Source Alignment and Review</w:t>
      </w:r>
    </w:p>
    <w:p>
      <w:r>
        <w:t>This chapter implements All Articles and Decisions 1–58; especially Decisions 25, 37–43, 47–51, 58. Final source-alignment and constitutional disposition is recorded in the batch audit reports; embedded approval text is not treated as review evidence.</w:t>
      </w:r>
    </w:p>
    <w:p>
      <w:pPr>
        <w:pStyle w:val="Heading2"/>
        <w:keepNext/>
      </w:pPr>
      <w:r>
        <w:t>Whole-Book Audit Resolution</w:t>
      </w:r>
    </w:p>
    <w:p>
      <w:pPr>
        <w:keepNext/>
      </w:pPr>
      <w:r>
        <w:t>The following requirements supersede any ambiguous earlier wording in this chapter and are incorporated into this edition:</w:t>
      </w:r>
    </w:p>
    <w:p>
      <w:pPr>
        <w:pStyle w:val="ListBullet"/>
        <w:keepLines/>
      </w:pPr>
      <w:r>
        <w:t>Architecture certification is an evidence-backed conformance status and never a source of constitutional authority.</w:t>
      </w:r>
    </w:p>
    <w:p>
      <w:pPr>
        <w:pStyle w:val="ListBullet"/>
        <w:keepLines/>
      </w:pPr>
      <w:r>
        <w:t>Certification requires one semantic owner per authoritative object and explicit separation of domain authority from persistence and observability custody.</w:t>
      </w:r>
    </w:p>
    <w:p>
      <w:pPr>
        <w:pStyle w:val="ListBullet"/>
        <w:keepLines/>
      </w:pPr>
      <w:r>
        <w:t>Invariant-change conformance requires two exact Owner ceremonies, a 72-hour cooling-off period, a Constitutional Mirror, independent recovery proof, and continuity classification.</w:t>
      </w:r>
    </w:p>
    <w:p>
      <w:pPr>
        <w:pStyle w:val="ListBullet"/>
        <w:keepLines/>
      </w:pPr>
      <w:r>
        <w:t>Recovery-lease conformance requires a 24-hour maximum and fresh Owner authorization for every extension.</w:t>
      </w:r>
    </w:p>
    <w:p>
      <w:pPr>
        <w:pStyle w:val="ListBullet"/>
        <w:keepLines/>
      </w:pPr>
      <w:r>
        <w:t>Experience deletion conformance requires cryptographic payload erasure, derived-copy removal, and an immutable minimal tombstone.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Book II • Architecture Specification • </w:t>
    </w:r>
    <w:r>
      <w:t xml:space="preserve">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7" w:space="6" w:color="C8D4E3"/>
      </w:pBdr>
    </w:pPr>
    <w:r>
      <w:rPr>
        <w:color w:val="5B6573"/>
        <w:sz w:val="16"/>
      </w:rPr>
      <w:t>HAL — BOOK II: CHAPTER 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634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ind w:left="720" w:hanging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Revised after full Book II constitutional and cross-chapter audit.</dc:description>
  <cp:lastModifiedBy/>
  <cp:revision>1</cp:revision>
  <dcterms:created xsi:type="dcterms:W3CDTF">2013-12-23T23:15:00Z</dcterms:created>
  <dcterms:modified xsi:type="dcterms:W3CDTF">2013-12-23T23:15:00Z</dcterms:modified>
  <cp:category/>
  <cp:version>0.2</cp:version>
</cp:coreProperties>
</file>