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b/>
          <w:color w:val="3D7B78"/>
          <w:sz w:val="30"/>
        </w:rPr>
        <w:t>HAL</w:t>
      </w:r>
    </w:p>
    <w:p>
      <w:pPr>
        <w:pStyle w:val="Title"/>
      </w:pPr>
      <w:r>
        <w:t>Book II Final Certification</w:t>
      </w:r>
    </w:p>
    <w:p>
      <w:pPr>
        <w:pStyle w:val="Subtitle"/>
      </w:pPr>
      <w:r>
        <w:t>Constitutional and Cross-Chapter Architecture Audit</w:t>
      </w:r>
    </w:p>
    <w:p>
      <w:pPr>
        <w:spacing w:before="360"/>
        <w:pBdr>
          <w:bottom w:val="single" w:sz="30" w:space="1" w:color="3D7B78"/>
        </w:pBdr>
      </w:pPr>
    </w:p>
    <w:tbl>
      <w:tblPr>
        <w:tblW w:type="auto" w:w="0"/>
        <w:jc w:val="left"/>
        <w:tblLayout w:type="fixed"/>
        <w:tblLook w:firstColumn="1" w:firstRow="1" w:lastColumn="0" w:lastRow="0" w:noHBand="0" w:noVBand="1" w:val="04A0"/>
      </w:tblPr>
      <w:tblGrid>
        <w:gridCol w:w="5083"/>
        <w:gridCol w:w="5083"/>
      </w:tblGrid>
      <w:tr>
        <w:tc>
          <w:tcPr>
            <w:tcW w:type="dxa" w:w="5083"/>
            <w:shd w:fill="17324D"/>
            <w:vAlign w:val="center"/>
            <w:tcMar>
              <w:top w:w="90" w:type="dxa"/>
              <w:start w:w="110" w:type="dxa"/>
              <w:bottom w:w="90" w:type="dxa"/>
              <w:end w:w="110" w:type="dxa"/>
            </w:tcMar>
          </w:tcPr>
          <w:p>
            <w:r>
              <w:rPr>
                <w:b/>
                <w:color w:val="FFFFFF"/>
              </w:rPr>
              <w:t>VERSION</w:t>
            </w:r>
          </w:p>
        </w:tc>
        <w:tc>
          <w:tcPr>
            <w:tcW w:type="dxa" w:w="5083"/>
            <w:shd w:fill="F3F5F7"/>
            <w:vAlign w:val="center"/>
            <w:tcMar>
              <w:top w:w="90" w:type="dxa"/>
              <w:start w:w="110" w:type="dxa"/>
              <w:bottom w:w="90" w:type="dxa"/>
              <w:end w:w="110" w:type="dxa"/>
            </w:tcMar>
          </w:tcPr>
          <w:p>
            <w:r>
              <w:t>1.0</w:t>
            </w:r>
          </w:p>
        </w:tc>
      </w:tr>
      <w:tr>
        <w:tc>
          <w:tcPr>
            <w:tcW w:type="dxa" w:w="5083"/>
            <w:shd w:fill="17324D"/>
            <w:vAlign w:val="center"/>
            <w:tcMar>
              <w:top w:w="90" w:type="dxa"/>
              <w:start w:w="110" w:type="dxa"/>
              <w:bottom w:w="90" w:type="dxa"/>
              <w:end w:w="110" w:type="dxa"/>
            </w:tcMar>
          </w:tcPr>
          <w:p>
            <w:r>
              <w:rPr>
                <w:b/>
                <w:color w:val="FFFFFF"/>
              </w:rPr>
              <w:t>DATE</w:t>
            </w:r>
          </w:p>
        </w:tc>
        <w:tc>
          <w:tcPr>
            <w:tcW w:type="dxa" w:w="5083"/>
            <w:shd w:fill="FFFFFF"/>
            <w:vAlign w:val="center"/>
            <w:tcMar>
              <w:top w:w="90" w:type="dxa"/>
              <w:start w:w="110" w:type="dxa"/>
              <w:bottom w:w="90" w:type="dxa"/>
              <w:end w:w="110" w:type="dxa"/>
            </w:tcMar>
          </w:tcPr>
          <w:p>
            <w:r>
              <w:t>July 27, 2026</w:t>
            </w:r>
          </w:p>
        </w:tc>
      </w:tr>
      <w:tr>
        <w:tc>
          <w:tcPr>
            <w:tcW w:type="dxa" w:w="5083"/>
            <w:shd w:fill="17324D"/>
            <w:vAlign w:val="center"/>
            <w:tcMar>
              <w:top w:w="90" w:type="dxa"/>
              <w:start w:w="110" w:type="dxa"/>
              <w:bottom w:w="90" w:type="dxa"/>
              <w:end w:w="110" w:type="dxa"/>
            </w:tcMar>
          </w:tcPr>
          <w:p>
            <w:r>
              <w:rPr>
                <w:b/>
                <w:color w:val="FFFFFF"/>
              </w:rPr>
              <w:t>SCOPE</w:t>
            </w:r>
          </w:p>
        </w:tc>
        <w:tc>
          <w:tcPr>
            <w:tcW w:type="dxa" w:w="5083"/>
            <w:shd w:fill="F3F5F7"/>
            <w:vAlign w:val="center"/>
            <w:tcMar>
              <w:top w:w="90" w:type="dxa"/>
              <w:start w:w="110" w:type="dxa"/>
              <w:bottom w:w="90" w:type="dxa"/>
              <w:end w:w="110" w:type="dxa"/>
            </w:tcMar>
          </w:tcPr>
          <w:p>
            <w:r>
              <w:t>Book II Chapters 1–35</w:t>
            </w:r>
          </w:p>
        </w:tc>
      </w:tr>
      <w:tr>
        <w:tc>
          <w:tcPr>
            <w:tcW w:type="dxa" w:w="5083"/>
            <w:shd w:fill="17324D"/>
            <w:vAlign w:val="center"/>
            <w:tcMar>
              <w:top w:w="90" w:type="dxa"/>
              <w:start w:w="110" w:type="dxa"/>
              <w:bottom w:w="90" w:type="dxa"/>
              <w:end w:w="110" w:type="dxa"/>
            </w:tcMar>
          </w:tcPr>
          <w:p>
            <w:r>
              <w:rPr>
                <w:b/>
                <w:color w:val="FFFFFF"/>
              </w:rPr>
              <w:t>AUTHORITY</w:t>
            </w:r>
          </w:p>
        </w:tc>
        <w:tc>
          <w:tcPr>
            <w:tcW w:type="dxa" w:w="5083"/>
            <w:shd w:fill="FFFFFF"/>
            <w:vAlign w:val="center"/>
            <w:tcMar>
              <w:top w:w="90" w:type="dxa"/>
              <w:start w:w="110" w:type="dxa"/>
              <w:bottom w:w="90" w:type="dxa"/>
              <w:end w:w="110" w:type="dxa"/>
            </w:tcMar>
          </w:tcPr>
          <w:p>
            <w:r>
              <w:t>Book I Constitution v1.0 and Principles v1.1</w:t>
            </w:r>
          </w:p>
        </w:tc>
      </w:tr>
      <w:tr>
        <w:tc>
          <w:tcPr>
            <w:tcW w:type="dxa" w:w="5083"/>
            <w:shd w:fill="17324D"/>
            <w:vAlign w:val="center"/>
            <w:tcMar>
              <w:top w:w="90" w:type="dxa"/>
              <w:start w:w="110" w:type="dxa"/>
              <w:bottom w:w="90" w:type="dxa"/>
              <w:end w:w="110" w:type="dxa"/>
            </w:tcMar>
          </w:tcPr>
          <w:p>
            <w:r>
              <w:rPr>
                <w:b/>
                <w:color w:val="FFFFFF"/>
              </w:rPr>
              <w:t>DISPOSITION</w:t>
            </w:r>
          </w:p>
        </w:tc>
        <w:tc>
          <w:tcPr>
            <w:tcW w:type="dxa" w:w="5083"/>
            <w:shd w:fill="F3F5F7"/>
            <w:vAlign w:val="center"/>
            <w:tcMar>
              <w:top w:w="90" w:type="dxa"/>
              <w:start w:w="110" w:type="dxa"/>
              <w:bottom w:w="90" w:type="dxa"/>
              <w:end w:w="110" w:type="dxa"/>
            </w:tcMar>
          </w:tcPr>
          <w:p>
            <w:r>
              <w:t>Certified constitutionally conformant</w:t>
            </w:r>
          </w:p>
        </w:tc>
      </w:tr>
      <w:tr>
        <w:tc>
          <w:tcPr>
            <w:tcW w:type="dxa" w:w="5083"/>
            <w:shd w:fill="17324D"/>
            <w:vAlign w:val="center"/>
            <w:tcMar>
              <w:top w:w="90" w:type="dxa"/>
              <w:start w:w="110" w:type="dxa"/>
              <w:bottom w:w="90" w:type="dxa"/>
              <w:end w:w="110" w:type="dxa"/>
            </w:tcMar>
          </w:tcPr>
          <w:p>
            <w:r>
              <w:rPr>
                <w:b/>
                <w:color w:val="FFFFFF"/>
              </w:rPr>
              <w:t>OWNER REVIEW</w:t>
            </w:r>
          </w:p>
        </w:tc>
        <w:tc>
          <w:tcPr>
            <w:tcW w:type="dxa" w:w="5083"/>
            <w:shd w:fill="FFFFFF"/>
            <w:vAlign w:val="center"/>
            <w:tcMar>
              <w:top w:w="90" w:type="dxa"/>
              <w:start w:w="110" w:type="dxa"/>
              <w:bottom w:w="90" w:type="dxa"/>
              <w:end w:w="110" w:type="dxa"/>
            </w:tcMar>
          </w:tcPr>
          <w:p>
            <w:r>
              <w:t>Closed; no unresolved decisions</w:t>
            </w:r>
          </w:p>
        </w:tc>
      </w:tr>
    </w:tbl>
    <w:p>
      <w:pPr>
        <w:spacing w:before="560"/>
        <w:jc w:val="center"/>
      </w:pPr>
      <w:r>
        <w:rPr>
          <w:b/>
          <w:color w:val="9E3B3B"/>
          <w:sz w:val="20"/>
        </w:rPr>
        <w:t>BOOK I REMAINS THE SUPREME AUTHORITY</w:t>
      </w:r>
    </w:p>
    <w:p>
      <w:r>
        <w:br w:type="page"/>
      </w:r>
    </w:p>
    <w:p>
      <w:pPr>
        <w:pStyle w:val="Heading1"/>
      </w:pPr>
      <w:r>
        <w:t>Contents</w:t>
      </w:r>
    </w:p>
    <w:tbl>
      <w:tblPr>
        <w:tblStyle w:val="LightShading-Accent1"/>
        <w:tblW w:type="auto" w:w="0"/>
        <w:jc w:val="center"/>
        <w:tblLook w:firstColumn="1" w:firstRow="1" w:lastColumn="0" w:lastRow="0" w:noHBand="0" w:noVBand="1" w:val="04A0"/>
      </w:tblPr>
      <w:tblGrid>
        <w:gridCol w:w="5083"/>
        <w:gridCol w:w="5083"/>
      </w:tblGrid>
      <w:tr>
        <w:tc>
          <w:tcPr>
            <w:tcW w:type="dxa" w:w="5083"/>
            <w:tcMar>
              <w:top w:w="90" w:type="dxa"/>
              <w:start w:w="110" w:type="dxa"/>
              <w:bottom w:w="90" w:type="dxa"/>
              <w:end w:w="110" w:type="dxa"/>
            </w:tcMar>
          </w:tcPr>
          <w:p>
            <w:r>
              <w:t>SECTION</w:t>
            </w:r>
          </w:p>
        </w:tc>
        <w:tc>
          <w:tcPr>
            <w:tcW w:type="dxa" w:w="5083"/>
            <w:tcMar>
              <w:top w:w="90" w:type="dxa"/>
              <w:start w:w="110" w:type="dxa"/>
              <w:bottom w:w="90" w:type="dxa"/>
              <w:end w:w="110" w:type="dxa"/>
            </w:tcMar>
          </w:tcPr>
          <w:p>
            <w:r>
              <w:t>PURPOSE</w:t>
            </w:r>
          </w:p>
        </w:tc>
      </w:tr>
      <w:tr>
        <w:tc>
          <w:tcPr>
            <w:tcW w:type="dxa" w:w="5083"/>
            <w:tcMar>
              <w:top w:w="90" w:type="dxa"/>
              <w:start w:w="110" w:type="dxa"/>
              <w:bottom w:w="90" w:type="dxa"/>
              <w:end w:w="110" w:type="dxa"/>
            </w:tcMar>
          </w:tcPr>
          <w:p>
            <w:r>
              <w:t>Executive Disposition</w:t>
            </w:r>
          </w:p>
        </w:tc>
        <w:tc>
          <w:tcPr>
            <w:tcW w:type="dxa" w:w="5083"/>
            <w:tcMar>
              <w:top w:w="90" w:type="dxa"/>
              <w:start w:w="110" w:type="dxa"/>
              <w:bottom w:w="90" w:type="dxa"/>
              <w:end w:w="110" w:type="dxa"/>
            </w:tcMar>
          </w:tcPr>
          <w:p>
            <w:r>
              <w:t>Certification conclusion</w:t>
            </w:r>
          </w:p>
        </w:tc>
      </w:tr>
      <w:tr>
        <w:tc>
          <w:tcPr>
            <w:tcW w:type="dxa" w:w="5083"/>
            <w:tcMar>
              <w:top w:w="90" w:type="dxa"/>
              <w:start w:w="110" w:type="dxa"/>
              <w:bottom w:w="90" w:type="dxa"/>
              <w:end w:w="110" w:type="dxa"/>
            </w:tcMar>
          </w:tcPr>
          <w:p>
            <w:r>
              <w:t>1. Certification Basis</w:t>
            </w:r>
          </w:p>
        </w:tc>
        <w:tc>
          <w:tcPr>
            <w:tcW w:type="dxa" w:w="5083"/>
            <w:tcMar>
              <w:top w:w="90" w:type="dxa"/>
              <w:start w:w="110" w:type="dxa"/>
              <w:bottom w:w="90" w:type="dxa"/>
              <w:end w:w="110" w:type="dxa"/>
            </w:tcMar>
          </w:tcPr>
          <w:p>
            <w:r>
              <w:t>Authority and review method</w:t>
            </w:r>
          </w:p>
        </w:tc>
      </w:tr>
      <w:tr>
        <w:tc>
          <w:tcPr>
            <w:tcW w:type="dxa" w:w="5083"/>
            <w:tcMar>
              <w:top w:w="90" w:type="dxa"/>
              <w:start w:w="110" w:type="dxa"/>
              <w:bottom w:w="90" w:type="dxa"/>
              <w:end w:w="110" w:type="dxa"/>
            </w:tcMar>
          </w:tcPr>
          <w:p>
            <w:r>
              <w:t>2. Authoritative Chapter Set</w:t>
            </w:r>
          </w:p>
        </w:tc>
        <w:tc>
          <w:tcPr>
            <w:tcW w:type="dxa" w:w="5083"/>
            <w:tcMar>
              <w:top w:w="90" w:type="dxa"/>
              <w:start w:w="110" w:type="dxa"/>
              <w:bottom w:w="90" w:type="dxa"/>
              <w:end w:w="110" w:type="dxa"/>
            </w:tcMar>
          </w:tcPr>
          <w:p>
            <w:r>
              <w:t>Controlling editions</w:t>
            </w:r>
          </w:p>
        </w:tc>
      </w:tr>
      <w:tr>
        <w:tc>
          <w:tcPr>
            <w:tcW w:type="dxa" w:w="5083"/>
            <w:tcMar>
              <w:top w:w="90" w:type="dxa"/>
              <w:start w:w="110" w:type="dxa"/>
              <w:bottom w:w="90" w:type="dxa"/>
              <w:end w:w="110" w:type="dxa"/>
            </w:tcMar>
          </w:tcPr>
          <w:p>
            <w:r>
              <w:t>3. Constitutional Coverage</w:t>
            </w:r>
          </w:p>
        </w:tc>
        <w:tc>
          <w:tcPr>
            <w:tcW w:type="dxa" w:w="5083"/>
            <w:tcMar>
              <w:top w:w="90" w:type="dxa"/>
              <w:start w:w="110" w:type="dxa"/>
              <w:bottom w:w="90" w:type="dxa"/>
              <w:end w:w="110" w:type="dxa"/>
            </w:tcMar>
          </w:tcPr>
          <w:p>
            <w:r>
              <w:t>Decisions 1–58</w:t>
            </w:r>
          </w:p>
        </w:tc>
      </w:tr>
      <w:tr>
        <w:tc>
          <w:tcPr>
            <w:tcW w:type="dxa" w:w="5083"/>
            <w:tcMar>
              <w:top w:w="90" w:type="dxa"/>
              <w:start w:w="110" w:type="dxa"/>
              <w:bottom w:w="90" w:type="dxa"/>
              <w:end w:w="110" w:type="dxa"/>
            </w:tcMar>
          </w:tcPr>
          <w:p>
            <w:r>
              <w:t>4. Closed Owner Decisions</w:t>
            </w:r>
          </w:p>
        </w:tc>
        <w:tc>
          <w:tcPr>
            <w:tcW w:type="dxa" w:w="5083"/>
            <w:tcMar>
              <w:top w:w="90" w:type="dxa"/>
              <w:start w:w="110" w:type="dxa"/>
              <w:bottom w:w="90" w:type="dxa"/>
              <w:end w:w="110" w:type="dxa"/>
            </w:tcMar>
          </w:tcPr>
          <w:p>
            <w:r>
              <w:t>Final adopted rules</w:t>
            </w:r>
          </w:p>
        </w:tc>
      </w:tr>
      <w:tr>
        <w:tc>
          <w:tcPr>
            <w:tcW w:type="dxa" w:w="5083"/>
            <w:tcMar>
              <w:top w:w="90" w:type="dxa"/>
              <w:start w:w="110" w:type="dxa"/>
              <w:bottom w:w="90" w:type="dxa"/>
              <w:end w:w="110" w:type="dxa"/>
            </w:tcMar>
          </w:tcPr>
          <w:p>
            <w:r>
              <w:t>5. Resolved Cross-Chapter Findings</w:t>
            </w:r>
          </w:p>
        </w:tc>
        <w:tc>
          <w:tcPr>
            <w:tcW w:type="dxa" w:w="5083"/>
            <w:tcMar>
              <w:top w:w="90" w:type="dxa"/>
              <w:start w:w="110" w:type="dxa"/>
              <w:bottom w:w="90" w:type="dxa"/>
              <w:end w:w="110" w:type="dxa"/>
            </w:tcMar>
          </w:tcPr>
          <w:p>
            <w:r>
              <w:t>Canonical ownership corrections</w:t>
            </w:r>
          </w:p>
        </w:tc>
      </w:tr>
      <w:tr>
        <w:tc>
          <w:tcPr>
            <w:tcW w:type="dxa" w:w="5083"/>
            <w:tcMar>
              <w:top w:w="90" w:type="dxa"/>
              <w:start w:w="110" w:type="dxa"/>
              <w:bottom w:w="90" w:type="dxa"/>
              <w:end w:w="110" w:type="dxa"/>
            </w:tcMar>
          </w:tcPr>
          <w:p>
            <w:r>
              <w:t>6. Certification Tests</w:t>
            </w:r>
          </w:p>
        </w:tc>
        <w:tc>
          <w:tcPr>
            <w:tcW w:type="dxa" w:w="5083"/>
            <w:tcMar>
              <w:top w:w="90" w:type="dxa"/>
              <w:start w:w="110" w:type="dxa"/>
              <w:bottom w:w="90" w:type="dxa"/>
              <w:end w:w="110" w:type="dxa"/>
            </w:tcMar>
          </w:tcPr>
          <w:p>
            <w:r>
              <w:t>Final pass results</w:t>
            </w:r>
          </w:p>
        </w:tc>
      </w:tr>
      <w:tr>
        <w:tc>
          <w:tcPr>
            <w:tcW w:type="dxa" w:w="5083"/>
            <w:tcMar>
              <w:top w:w="90" w:type="dxa"/>
              <w:start w:w="110" w:type="dxa"/>
              <w:bottom w:w="90" w:type="dxa"/>
              <w:end w:w="110" w:type="dxa"/>
            </w:tcMar>
          </w:tcPr>
          <w:p>
            <w:r>
              <w:t>7. Certification Boundary</w:t>
            </w:r>
          </w:p>
        </w:tc>
        <w:tc>
          <w:tcPr>
            <w:tcW w:type="dxa" w:w="5083"/>
            <w:tcMar>
              <w:top w:w="90" w:type="dxa"/>
              <w:start w:w="110" w:type="dxa"/>
              <w:bottom w:w="90" w:type="dxa"/>
              <w:end w:w="110" w:type="dxa"/>
            </w:tcMar>
          </w:tcPr>
          <w:p>
            <w:r>
              <w:t>What this certification covers</w:t>
            </w:r>
          </w:p>
        </w:tc>
      </w:tr>
      <w:tr>
        <w:tc>
          <w:tcPr>
            <w:tcW w:type="dxa" w:w="5083"/>
            <w:tcMar>
              <w:top w:w="90" w:type="dxa"/>
              <w:start w:w="110" w:type="dxa"/>
              <w:bottom w:w="90" w:type="dxa"/>
              <w:end w:w="110" w:type="dxa"/>
            </w:tcMar>
          </w:tcPr>
          <w:p>
            <w:r>
              <w:t>8. Final Certification Statement</w:t>
            </w:r>
          </w:p>
        </w:tc>
        <w:tc>
          <w:tcPr>
            <w:tcW w:type="dxa" w:w="5083"/>
            <w:tcMar>
              <w:top w:w="90" w:type="dxa"/>
              <w:start w:w="110" w:type="dxa"/>
              <w:bottom w:w="90" w:type="dxa"/>
              <w:end w:w="110" w:type="dxa"/>
            </w:tcMar>
          </w:tcPr>
          <w:p>
            <w:r>
              <w:t>Formal disposition</w:t>
            </w:r>
          </w:p>
        </w:tc>
      </w:tr>
      <w:tr>
        <w:tc>
          <w:tcPr>
            <w:tcW w:type="dxa" w:w="5083"/>
            <w:tcMar>
              <w:top w:w="90" w:type="dxa"/>
              <w:start w:w="110" w:type="dxa"/>
              <w:bottom w:w="90" w:type="dxa"/>
              <w:end w:w="110" w:type="dxa"/>
            </w:tcMar>
          </w:tcPr>
          <w:p>
            <w:r>
              <w:t>Document Control</w:t>
            </w:r>
          </w:p>
        </w:tc>
        <w:tc>
          <w:tcPr>
            <w:tcW w:type="dxa" w:w="5083"/>
            <w:tcMar>
              <w:top w:w="90" w:type="dxa"/>
              <w:start w:w="110" w:type="dxa"/>
              <w:bottom w:w="90" w:type="dxa"/>
              <w:end w:w="110" w:type="dxa"/>
            </w:tcMar>
          </w:tcPr>
          <w:p>
            <w:r>
              <w:t>Revision history</w:t>
            </w:r>
          </w:p>
        </w:tc>
      </w:tr>
    </w:tbl>
    <w:p>
      <w:r>
        <w:t>This record certifies the architecture document set. It does not certify a future implementation or deployment.</w:t>
      </w:r>
    </w:p>
    <w:p>
      <w:r>
        <w:br w:type="page"/>
      </w:r>
    </w:p>
    <w:p>
      <w:pPr>
        <w:pStyle w:val="Heading1"/>
      </w:pPr>
      <w:r>
        <w:t>Executive Disposition</w:t>
      </w:r>
    </w:p>
    <w:p>
      <w:r>
        <w:t>Book II passes the final constitutional and cross-chapter architecture audit.</w:t>
      </w:r>
    </w:p>
    <w:p>
      <w:r>
        <w:t>The authoritative chapter set:</w:t>
      </w:r>
    </w:p>
    <w:p>
      <w:pPr>
        <w:pStyle w:val="ListBullet"/>
      </w:pPr>
      <w:r>
        <w:t>contains all 35 chapters in Markdown, DOCX, and PDF;</w:t>
      </w:r>
    </w:p>
    <w:p>
      <w:pPr>
        <w:pStyle w:val="ListBullet"/>
      </w:pPr>
      <w:r>
        <w:t>maps all 58 Book I constitutional decisions;</w:t>
      </w:r>
    </w:p>
    <w:p>
      <w:pPr>
        <w:pStyle w:val="ListBullet"/>
      </w:pPr>
      <w:r>
        <w:t>incorporates all three Owner decisions raised by the independent whole-book audit;</w:t>
      </w:r>
    </w:p>
    <w:p>
      <w:pPr>
        <w:pStyle w:val="ListBullet"/>
      </w:pPr>
      <w:r>
        <w:t>resolves all seven material cross-chapter responsibility conflicts;</w:t>
      </w:r>
    </w:p>
    <w:p>
      <w:pPr>
        <w:pStyle w:val="ListBullet"/>
      </w:pPr>
      <w:r>
        <w:t>contains no remaining identified constitutional contradiction;</w:t>
      </w:r>
    </w:p>
    <w:p>
      <w:pPr>
        <w:pStyle w:val="ListBullet"/>
      </w:pPr>
      <w:r>
        <w:t>contains no remaining Owner decision requiring resolution before architecture certification.</w:t>
      </w:r>
    </w:p>
    <w:p>
      <w:r>
        <w:t>This certification applies to the architecture specification. It does not certify a future implementation, deployment, operational configuration, or third-party capability. Those artifacts must demonstrate their own conformance to Book I and Book II.</w:t>
      </w:r>
    </w:p>
    <w:p>
      <w:pPr>
        <w:pStyle w:val="Heading1"/>
      </w:pPr>
      <w:r>
        <w:t>1. Certification Basis</w:t>
      </w:r>
    </w:p>
    <w:p>
      <w:r>
        <w:t>The certification review treated Book I as the supreme authority and ignored embedded self-approval statements from earlier Book II drafts.</w:t>
      </w:r>
    </w:p>
    <w:p>
      <w:r>
        <w:t>The review evaluated:</w:t>
      </w:r>
    </w:p>
    <w:p>
      <w:pPr>
        <w:ind w:left="317" w:hanging="317"/>
      </w:pPr>
      <w:r>
        <w:rPr>
          <w:b/>
        </w:rPr>
        <w:t xml:space="preserve">1.  </w:t>
      </w:r>
      <w:r>
        <w:t>Constitutional coverage across Decisions 1–58.</w:t>
      </w:r>
    </w:p>
    <w:p>
      <w:pPr>
        <w:ind w:left="317" w:hanging="317"/>
      </w:pPr>
      <w:r>
        <w:rPr>
          <w:b/>
        </w:rPr>
        <w:t xml:space="preserve">2.  </w:t>
      </w:r>
      <w:r>
        <w:t>Conflicts between Book II requirements and Book I.</w:t>
      </w:r>
    </w:p>
    <w:p>
      <w:pPr>
        <w:ind w:left="317" w:hanging="317"/>
      </w:pPr>
      <w:r>
        <w:rPr>
          <w:b/>
        </w:rPr>
        <w:t xml:space="preserve">3.  </w:t>
      </w:r>
      <w:r>
        <w:t>Conflicts among Book II chapters.</w:t>
      </w:r>
    </w:p>
    <w:p>
      <w:pPr>
        <w:ind w:left="317" w:hanging="317"/>
      </w:pPr>
      <w:r>
        <w:rPr>
          <w:b/>
        </w:rPr>
        <w:t xml:space="preserve">4.  </w:t>
      </w:r>
      <w:r>
        <w:t>Ownership of canonical state and lifecycle authority.</w:t>
      </w:r>
    </w:p>
    <w:p>
      <w:pPr>
        <w:ind w:left="317" w:hanging="317"/>
      </w:pPr>
      <w:r>
        <w:rPr>
          <w:b/>
        </w:rPr>
        <w:t xml:space="preserve">5.  </w:t>
      </w:r>
      <w:r>
        <w:t>Protected-action authorization and recovery behavior.</w:t>
      </w:r>
    </w:p>
    <w:p>
      <w:pPr>
        <w:ind w:left="317" w:hanging="317"/>
      </w:pPr>
      <w:r>
        <w:rPr>
          <w:b/>
        </w:rPr>
        <w:t xml:space="preserve">6.  </w:t>
      </w:r>
      <w:r>
        <w:t>Experience Ledger preservation and authorized deletion semantics.</w:t>
      </w:r>
    </w:p>
    <w:p>
      <w:pPr>
        <w:ind w:left="317" w:hanging="317"/>
      </w:pPr>
      <w:r>
        <w:rPr>
          <w:b/>
        </w:rPr>
        <w:t xml:space="preserve">7.  </w:t>
      </w:r>
      <w:r>
        <w:t>Constitutional succession, leases, and invariant-change procedures.</w:t>
      </w:r>
    </w:p>
    <w:p>
      <w:pPr>
        <w:ind w:left="317" w:hanging="317"/>
      </w:pPr>
      <w:r>
        <w:rPr>
          <w:b/>
        </w:rPr>
        <w:t xml:space="preserve">8.  </w:t>
      </w:r>
      <w:r>
        <w:t>Presence of complete Markdown, DOCX, and PDF editions for every chapter.</w:t>
      </w:r>
    </w:p>
    <w:p>
      <w:pPr>
        <w:ind w:left="317" w:hanging="317"/>
      </w:pPr>
      <w:r>
        <w:rPr>
          <w:b/>
        </w:rPr>
        <w:t xml:space="preserve">9.  </w:t>
      </w:r>
      <w:r>
        <w:t>Visual integrity of the revised PDF set.</w:t>
      </w:r>
    </w:p>
    <w:p>
      <w:pPr>
        <w:pStyle w:val="Heading1"/>
      </w:pPr>
      <w:r>
        <w:t>2. Authoritative Chapter Set</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24D"/>
          </w:tcPr>
          <w:p>
            <w:r>
              <w:rPr>
                <w:b/>
                <w:color w:val="FFFFFF"/>
              </w:rPr>
              <w:t>Chapters</w:t>
            </w:r>
          </w:p>
        </w:tc>
        <w:tc>
          <w:tcPr>
            <w:tcW w:type="dxa" w:w="3389"/>
            <w:shd w:fill="17324D"/>
          </w:tcPr>
          <w:p>
            <w:r>
              <w:rPr>
                <w:b/>
                <w:color w:val="FFFFFF"/>
              </w:rPr>
              <w:t>Authoritative version</w:t>
            </w:r>
          </w:p>
        </w:tc>
        <w:tc>
          <w:tcPr>
            <w:tcW w:type="dxa" w:w="3389"/>
            <w:shd w:fill="17324D"/>
          </w:tcPr>
          <w:p>
            <w:r>
              <w:rPr>
                <w:b/>
                <w:color w:val="FFFFFF"/>
              </w:rPr>
              <w:t>Formats</w:t>
            </w:r>
          </w:p>
        </w:tc>
      </w:tr>
      <w:tr>
        <w:tc>
          <w:tcPr>
            <w:tcW w:type="dxa" w:w="3389"/>
            <w:shd w:fill="FFFFFF"/>
            <w:tcMar>
              <w:top w:w="70" w:type="dxa"/>
              <w:start w:w="90" w:type="dxa"/>
              <w:bottom w:w="70" w:type="dxa"/>
              <w:end w:w="90" w:type="dxa"/>
            </w:tcMar>
            <w:vAlign w:val="center"/>
          </w:tcPr>
          <w:p>
            <w:r>
              <w:t>1–5</w:t>
            </w:r>
          </w:p>
        </w:tc>
        <w:tc>
          <w:tcPr>
            <w:tcW w:type="dxa" w:w="3389"/>
            <w:shd w:fill="FFFFFF"/>
            <w:tcMar>
              <w:top w:w="70" w:type="dxa"/>
              <w:start w:w="90" w:type="dxa"/>
              <w:bottom w:w="70" w:type="dxa"/>
              <w:end w:w="90" w:type="dxa"/>
            </w:tcMar>
            <w:vAlign w:val="center"/>
          </w:tcPr>
          <w:p>
            <w:r>
              <w:t>v0.2</w:t>
            </w:r>
          </w:p>
        </w:tc>
        <w:tc>
          <w:tcPr>
            <w:tcW w:type="dxa" w:w="3389"/>
            <w:shd w:fill="FFFFFF"/>
            <w:tcMar>
              <w:top w:w="70" w:type="dxa"/>
              <w:start w:w="90" w:type="dxa"/>
              <w:bottom w:w="70" w:type="dxa"/>
              <w:end w:w="90" w:type="dxa"/>
            </w:tcMar>
            <w:vAlign w:val="center"/>
          </w:tcPr>
          <w:p>
            <w:r>
              <w:t>Markdown, DOCX, PDF</w:t>
            </w:r>
          </w:p>
        </w:tc>
      </w:tr>
      <w:tr>
        <w:tc>
          <w:tcPr>
            <w:tcW w:type="dxa" w:w="3389"/>
            <w:shd w:fill="F3F5F7"/>
            <w:tcMar>
              <w:top w:w="70" w:type="dxa"/>
              <w:start w:w="90" w:type="dxa"/>
              <w:bottom w:w="70" w:type="dxa"/>
              <w:end w:w="90" w:type="dxa"/>
            </w:tcMar>
            <w:vAlign w:val="center"/>
          </w:tcPr>
          <w:p>
            <w:r>
              <w:t>6–20</w:t>
            </w:r>
          </w:p>
        </w:tc>
        <w:tc>
          <w:tcPr>
            <w:tcW w:type="dxa" w:w="3389"/>
            <w:shd w:fill="F3F5F7"/>
            <w:tcMar>
              <w:top w:w="70" w:type="dxa"/>
              <w:start w:w="90" w:type="dxa"/>
              <w:bottom w:w="70" w:type="dxa"/>
              <w:end w:w="90" w:type="dxa"/>
            </w:tcMar>
            <w:vAlign w:val="center"/>
          </w:tcPr>
          <w:p>
            <w:r>
              <w:t>v0.3</w:t>
            </w:r>
          </w:p>
        </w:tc>
        <w:tc>
          <w:tcPr>
            <w:tcW w:type="dxa" w:w="3389"/>
            <w:shd w:fill="F3F5F7"/>
            <w:tcMar>
              <w:top w:w="70" w:type="dxa"/>
              <w:start w:w="90" w:type="dxa"/>
              <w:bottom w:w="70" w:type="dxa"/>
              <w:end w:w="90" w:type="dxa"/>
            </w:tcMar>
            <w:vAlign w:val="center"/>
          </w:tcPr>
          <w:p>
            <w:r>
              <w:t>Markdown, DOCX, PDF</w:t>
            </w:r>
          </w:p>
        </w:tc>
      </w:tr>
      <w:tr>
        <w:tc>
          <w:tcPr>
            <w:tcW w:type="dxa" w:w="3389"/>
            <w:shd w:fill="FFFFFF"/>
            <w:tcMar>
              <w:top w:w="70" w:type="dxa"/>
              <w:start w:w="90" w:type="dxa"/>
              <w:bottom w:w="70" w:type="dxa"/>
              <w:end w:w="90" w:type="dxa"/>
            </w:tcMar>
            <w:vAlign w:val="center"/>
          </w:tcPr>
          <w:p>
            <w:r>
              <w:t>21–35</w:t>
            </w:r>
          </w:p>
        </w:tc>
        <w:tc>
          <w:tcPr>
            <w:tcW w:type="dxa" w:w="3389"/>
            <w:shd w:fill="FFFFFF"/>
            <w:tcMar>
              <w:top w:w="70" w:type="dxa"/>
              <w:start w:w="90" w:type="dxa"/>
              <w:bottom w:w="70" w:type="dxa"/>
              <w:end w:w="90" w:type="dxa"/>
            </w:tcMar>
            <w:vAlign w:val="center"/>
          </w:tcPr>
          <w:p>
            <w:r>
              <w:t>v0.2</w:t>
            </w:r>
          </w:p>
        </w:tc>
        <w:tc>
          <w:tcPr>
            <w:tcW w:type="dxa" w:w="3389"/>
            <w:shd w:fill="FFFFFF"/>
            <w:tcMar>
              <w:top w:w="70" w:type="dxa"/>
              <w:start w:w="90" w:type="dxa"/>
              <w:bottom w:w="70" w:type="dxa"/>
              <w:end w:w="90" w:type="dxa"/>
            </w:tcMar>
            <w:vAlign w:val="center"/>
          </w:tcPr>
          <w:p>
            <w:r>
              <w:t>Markdown, DOCX, PDF</w:t>
            </w:r>
          </w:p>
        </w:tc>
      </w:tr>
    </w:tbl>
    <w:p/>
    <w:p>
      <w:r>
        <w:t>Older chapter editions remain historical artifacts and are not authoritative.</w:t>
      </w:r>
    </w:p>
    <w:p>
      <w:pPr>
        <w:pStyle w:val="Heading1"/>
      </w:pPr>
      <w:r>
        <w:t>3. Constitutional Coverage</w:t>
      </w:r>
    </w:p>
    <w:tbl>
      <w:tblPr>
        <w:tblW w:type="auto" w:w="0"/>
        <w:jc w:val="center"/>
        <w:tblLayout w:type="autofit"/>
        <w:tblLook w:firstColumn="1" w:firstRow="1" w:lastColumn="0" w:lastRow="0" w:noHBand="0" w:noVBand="1" w:val="04A0"/>
      </w:tblPr>
      <w:tblGrid>
        <w:gridCol w:w="5083"/>
        <w:gridCol w:w="5083"/>
      </w:tblGrid>
      <w:tr>
        <w:tc>
          <w:tcPr>
            <w:tcW w:type="dxa" w:w="5083"/>
            <w:shd w:fill="17324D"/>
          </w:tcPr>
          <w:p>
            <w:r>
              <w:rPr>
                <w:b/>
                <w:color w:val="FFFFFF"/>
              </w:rPr>
              <w:t>Measure</w:t>
            </w:r>
          </w:p>
        </w:tc>
        <w:tc>
          <w:tcPr>
            <w:tcW w:type="dxa" w:w="5083"/>
            <w:shd w:fill="17324D"/>
          </w:tcPr>
          <w:p>
            <w:r>
              <w:rPr>
                <w:b/>
                <w:color w:val="FFFFFF"/>
              </w:rPr>
              <w:t>Result</w:t>
            </w:r>
          </w:p>
        </w:tc>
      </w:tr>
      <w:tr>
        <w:tc>
          <w:tcPr>
            <w:tcW w:type="dxa" w:w="5083"/>
            <w:shd w:fill="FFFFFF"/>
            <w:tcMar>
              <w:top w:w="70" w:type="dxa"/>
              <w:start w:w="90" w:type="dxa"/>
              <w:bottom w:w="70" w:type="dxa"/>
              <w:end w:w="90" w:type="dxa"/>
            </w:tcMar>
            <w:vAlign w:val="center"/>
          </w:tcPr>
          <w:p>
            <w:r>
              <w:t>Book I decisions evaluated</w:t>
            </w:r>
          </w:p>
        </w:tc>
        <w:tc>
          <w:tcPr>
            <w:tcW w:type="dxa" w:w="5083"/>
            <w:shd w:fill="FFFFFF"/>
            <w:tcMar>
              <w:top w:w="70" w:type="dxa"/>
              <w:start w:w="90" w:type="dxa"/>
              <w:bottom w:w="70" w:type="dxa"/>
              <w:end w:w="90" w:type="dxa"/>
            </w:tcMar>
            <w:vAlign w:val="center"/>
          </w:tcPr>
          <w:p>
            <w:r>
              <w:t>58</w:t>
            </w:r>
          </w:p>
        </w:tc>
      </w:tr>
      <w:tr>
        <w:tc>
          <w:tcPr>
            <w:tcW w:type="dxa" w:w="5083"/>
            <w:shd w:fill="F3F5F7"/>
            <w:tcMar>
              <w:top w:w="70" w:type="dxa"/>
              <w:start w:w="90" w:type="dxa"/>
              <w:bottom w:w="70" w:type="dxa"/>
              <w:end w:w="90" w:type="dxa"/>
            </w:tcMar>
            <w:vAlign w:val="center"/>
          </w:tcPr>
          <w:p>
            <w:r>
              <w:t>Book I decisions mapped in Book II</w:t>
            </w:r>
          </w:p>
        </w:tc>
        <w:tc>
          <w:tcPr>
            <w:tcW w:type="dxa" w:w="5083"/>
            <w:shd w:fill="F3F5F7"/>
            <w:tcMar>
              <w:top w:w="70" w:type="dxa"/>
              <w:start w:w="90" w:type="dxa"/>
              <w:bottom w:w="70" w:type="dxa"/>
              <w:end w:w="90" w:type="dxa"/>
            </w:tcMar>
            <w:vAlign w:val="center"/>
          </w:tcPr>
          <w:p>
            <w:r>
              <w:t>58</w:t>
            </w:r>
          </w:p>
        </w:tc>
      </w:tr>
      <w:tr>
        <w:tc>
          <w:tcPr>
            <w:tcW w:type="dxa" w:w="5083"/>
            <w:shd w:fill="FFFFFF"/>
            <w:tcMar>
              <w:top w:w="70" w:type="dxa"/>
              <w:start w:w="90" w:type="dxa"/>
              <w:bottom w:w="70" w:type="dxa"/>
              <w:end w:w="90" w:type="dxa"/>
            </w:tcMar>
            <w:vAlign w:val="center"/>
          </w:tcPr>
          <w:p>
            <w:r>
              <w:t>Book II chapters evaluated</w:t>
            </w:r>
          </w:p>
        </w:tc>
        <w:tc>
          <w:tcPr>
            <w:tcW w:type="dxa" w:w="5083"/>
            <w:shd w:fill="FFFFFF"/>
            <w:tcMar>
              <w:top w:w="70" w:type="dxa"/>
              <w:start w:w="90" w:type="dxa"/>
              <w:bottom w:w="70" w:type="dxa"/>
              <w:end w:w="90" w:type="dxa"/>
            </w:tcMar>
            <w:vAlign w:val="center"/>
          </w:tcPr>
          <w:p>
            <w:r>
              <w:t>35</w:t>
            </w:r>
          </w:p>
        </w:tc>
      </w:tr>
      <w:tr>
        <w:tc>
          <w:tcPr>
            <w:tcW w:type="dxa" w:w="5083"/>
            <w:shd w:fill="F3F5F7"/>
            <w:tcMar>
              <w:top w:w="70" w:type="dxa"/>
              <w:start w:w="90" w:type="dxa"/>
              <w:bottom w:w="70" w:type="dxa"/>
              <w:end w:w="90" w:type="dxa"/>
            </w:tcMar>
            <w:vAlign w:val="center"/>
          </w:tcPr>
          <w:p>
            <w:r>
              <w:t>Chapters present in all required formats</w:t>
            </w:r>
          </w:p>
        </w:tc>
        <w:tc>
          <w:tcPr>
            <w:tcW w:type="dxa" w:w="5083"/>
            <w:shd w:fill="F3F5F7"/>
            <w:tcMar>
              <w:top w:w="70" w:type="dxa"/>
              <w:start w:w="90" w:type="dxa"/>
              <w:bottom w:w="70" w:type="dxa"/>
              <w:end w:w="90" w:type="dxa"/>
            </w:tcMar>
            <w:vAlign w:val="center"/>
          </w:tcPr>
          <w:p>
            <w:r>
              <w:t>35</w:t>
            </w:r>
          </w:p>
        </w:tc>
      </w:tr>
      <w:tr>
        <w:tc>
          <w:tcPr>
            <w:tcW w:type="dxa" w:w="5083"/>
            <w:shd w:fill="FFFFFF"/>
            <w:tcMar>
              <w:top w:w="70" w:type="dxa"/>
              <w:start w:w="90" w:type="dxa"/>
              <w:bottom w:w="70" w:type="dxa"/>
              <w:end w:w="90" w:type="dxa"/>
            </w:tcMar>
            <w:vAlign w:val="center"/>
          </w:tcPr>
          <w:p>
            <w:r>
              <w:t>Unmapped constitutional decisions</w:t>
            </w:r>
          </w:p>
        </w:tc>
        <w:tc>
          <w:tcPr>
            <w:tcW w:type="dxa" w:w="5083"/>
            <w:shd w:fill="FFFFFF"/>
            <w:tcMar>
              <w:top w:w="70" w:type="dxa"/>
              <w:start w:w="90" w:type="dxa"/>
              <w:bottom w:w="70" w:type="dxa"/>
              <w:end w:w="90" w:type="dxa"/>
            </w:tcMar>
            <w:vAlign w:val="center"/>
          </w:tcPr>
          <w:p>
            <w:r>
              <w:t>0</w:t>
            </w:r>
          </w:p>
        </w:tc>
      </w:tr>
      <w:tr>
        <w:tc>
          <w:tcPr>
            <w:tcW w:type="dxa" w:w="5083"/>
            <w:shd w:fill="F3F5F7"/>
            <w:tcMar>
              <w:top w:w="70" w:type="dxa"/>
              <w:start w:w="90" w:type="dxa"/>
              <w:bottom w:w="70" w:type="dxa"/>
              <w:end w:w="90" w:type="dxa"/>
            </w:tcMar>
            <w:vAlign w:val="center"/>
          </w:tcPr>
          <w:p>
            <w:r>
              <w:t>Identified constitutional contradictions remaining</w:t>
            </w:r>
          </w:p>
        </w:tc>
        <w:tc>
          <w:tcPr>
            <w:tcW w:type="dxa" w:w="5083"/>
            <w:shd w:fill="F3F5F7"/>
            <w:tcMar>
              <w:top w:w="70" w:type="dxa"/>
              <w:start w:w="90" w:type="dxa"/>
              <w:bottom w:w="70" w:type="dxa"/>
              <w:end w:w="90" w:type="dxa"/>
            </w:tcMar>
            <w:vAlign w:val="center"/>
          </w:tcPr>
          <w:p>
            <w:r>
              <w:t>0</w:t>
            </w:r>
          </w:p>
        </w:tc>
      </w:tr>
    </w:tbl>
    <w:p/>
    <w:p>
      <w:r>
        <w:t>The coverage test is bidirectional in intent: every constitutional decision has architectural implementation coverage, and every major Book II component has either a constitutional purpose or a necessary engineering rationale.</w:t>
      </w:r>
    </w:p>
    <w:p>
      <w:pPr>
        <w:pStyle w:val="Heading1"/>
      </w:pPr>
      <w:r>
        <w:t>4. Closed Owner Decisions</w:t>
      </w:r>
    </w:p>
    <w:p>
      <w:pPr>
        <w:pStyle w:val="Heading2"/>
      </w:pPr>
      <w:r>
        <w:t>OR-01 — Experience Ledger Deletion Semantics</w:t>
      </w:r>
    </w:p>
    <w:p>
      <w:r>
        <w:rPr>
          <w:b/>
        </w:rPr>
        <w:t>Final rule:</w:t>
      </w:r>
      <w:r>
        <w:t xml:space="preserve"> The Experience Ledger sequence remains immutable. Authorized deletion uses cryptographic payload erasure and removes non-authoritative copies, caches, indexes, and external replicas. A minimal non-sensitive tombstone remains with authority, time, scope, and proof of deletion.</w:t>
      </w:r>
    </w:p>
    <w:p>
      <w:r>
        <w:t>Deletion requires the Owner Authorization Ceremony. Removal of the event identity or tombstone would require a constitutional amendment.</w:t>
      </w:r>
    </w:p>
    <w:p>
      <w:r>
        <w:rPr>
          <w:b/>
        </w:rPr>
        <w:t>Implemented in:</w:t>
      </w:r>
      <w:r>
        <w:t xml:space="preserve"> Chapters 10, 12, 19, 24, 25, 28, and 35.</w:t>
      </w:r>
    </w:p>
    <w:p>
      <w:pPr>
        <w:pStyle w:val="Heading2"/>
      </w:pPr>
      <w:r>
        <w:t>OR-02 — Recovery Constitutional Lease</w:t>
      </w:r>
    </w:p>
    <w:p>
      <w:r>
        <w:rPr>
          <w:b/>
        </w:rPr>
        <w:t>Final rule:</w:t>
      </w:r>
      <w:r>
        <w:t xml:space="preserve"> A pre-registered, independently attested successor may receive a short-lived constitutional recovery lease only after the prior lease is provably expired and quorum agrees on the latest valid constitutional state.</w:t>
      </w:r>
    </w:p>
    <w:p>
      <w:r>
        <w:t>The lease:</w:t>
      </w:r>
    </w:p>
    <w:p>
      <w:pPr>
        <w:pStyle w:val="ListBullet"/>
      </w:pPr>
      <w:r>
        <w:t>may last no longer than 24 hours;</w:t>
      </w:r>
    </w:p>
    <w:p>
      <w:pPr>
        <w:pStyle w:val="ListBullet"/>
      </w:pPr>
      <w:r>
        <w:t>requires fresh Owner-specific authorization for every extension;</w:t>
      </w:r>
    </w:p>
    <w:p>
      <w:pPr>
        <w:pStyle w:val="ListBullet"/>
      </w:pPr>
      <w:r>
        <w:t>binds authorization to the exact successor, constitutional state, lease, and duration;</w:t>
      </w:r>
    </w:p>
    <w:p>
      <w:pPr>
        <w:pStyle w:val="ListBullet"/>
      </w:pPr>
      <w:r>
        <w:t>stops protected canonical mutation at expiry;</w:t>
      </w:r>
    </w:p>
    <w:p>
      <w:pPr>
        <w:pStyle w:val="ListBullet"/>
      </w:pPr>
      <w:r>
        <w:t>returns the successor to Restricted or Safe Recovery mode at expiry;</w:t>
      </w:r>
    </w:p>
    <w:p>
      <w:pPr>
        <w:pStyle w:val="ListBullet"/>
      </w:pPr>
      <w:r>
        <w:t>never converts into permanent primary-host reassignment without the Owner Authorization Ceremony.</w:t>
      </w:r>
    </w:p>
    <w:p>
      <w:r>
        <w:rPr>
          <w:b/>
        </w:rPr>
        <w:t>Implemented in:</w:t>
      </w:r>
      <w:r>
        <w:t xml:space="preserve"> Chapters 3, 22, 28, 30, 34, and 35.</w:t>
      </w:r>
    </w:p>
    <w:p>
      <w:pPr>
        <w:pStyle w:val="Heading2"/>
      </w:pPr>
      <w:r>
        <w:t>OR-03 — Constitutional Invariant Change</w:t>
      </w:r>
    </w:p>
    <w:p>
      <w:r>
        <w:rPr>
          <w:b/>
        </w:rPr>
        <w:t>Final rule:</w:t>
      </w:r>
      <w:r>
        <w:t xml:space="preserve"> A change to a Constitutional Invariant requires:</w:t>
      </w:r>
    </w:p>
    <w:p>
      <w:pPr>
        <w:pStyle w:val="ListBullet"/>
      </w:pPr>
      <w:r>
        <w:t>two exact-change Owner Authorization Ceremonies;</w:t>
      </w:r>
    </w:p>
    <w:p>
      <w:pPr>
        <w:pStyle w:val="ListBullet"/>
      </w:pPr>
      <w:r>
        <w:t>a mandatory 72-hour cooling-off period between ceremonies;</w:t>
      </w:r>
    </w:p>
    <w:p>
      <w:pPr>
        <w:pStyle w:val="ListBullet"/>
      </w:pPr>
      <w:r>
        <w:t>a signed Constitutional Mirror;</w:t>
      </w:r>
    </w:p>
    <w:p>
      <w:pPr>
        <w:pStyle w:val="ListBullet"/>
      </w:pPr>
      <w:r>
        <w:t>an independently verified recovery point;</w:t>
      </w:r>
    </w:p>
    <w:p>
      <w:pPr>
        <w:pStyle w:val="ListBullet"/>
      </w:pPr>
      <w:r>
        <w:t>explicit classification that the result either preserves HAL identity or creates a successor constitutional system;</w:t>
      </w:r>
    </w:p>
    <w:p>
      <w:pPr>
        <w:pStyle w:val="ListBullet"/>
      </w:pPr>
      <w:r>
        <w:t>restart of the complete process after any material proposal change;</w:t>
      </w:r>
    </w:p>
    <w:p>
      <w:pPr>
        <w:pStyle w:val="ListBullet"/>
      </w:pPr>
      <w:r>
        <w:t>permanent preservation of predecessor state, authorization, and migration evidence.</w:t>
      </w:r>
    </w:p>
    <w:p>
      <w:r>
        <w:t>Before completion of this procedure, HAL may analyze and simulate the proposal but may not enact it.</w:t>
      </w:r>
    </w:p>
    <w:p>
      <w:r>
        <w:rPr>
          <w:b/>
        </w:rPr>
        <w:t>Implemented in:</w:t>
      </w:r>
      <w:r>
        <w:t xml:space="preserve"> Chapters 3, 17, 29, 30, 33, and 35.</w:t>
      </w:r>
    </w:p>
    <w:p>
      <w:pPr>
        <w:pStyle w:val="Heading1"/>
      </w:pPr>
      <w:r>
        <w:t>5. Resolved Cross-Chapter Findings</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24D"/>
          </w:tcPr>
          <w:p>
            <w:r>
              <w:rPr>
                <w:b/>
                <w:color w:val="FFFFFF"/>
              </w:rPr>
              <w:t>Finding</w:t>
            </w:r>
          </w:p>
        </w:tc>
        <w:tc>
          <w:tcPr>
            <w:tcW w:type="dxa" w:w="3389"/>
            <w:shd w:fill="17324D"/>
          </w:tcPr>
          <w:p>
            <w:r>
              <w:rPr>
                <w:b/>
                <w:color w:val="FFFFFF"/>
              </w:rPr>
              <w:t>Final ownership rule</w:t>
            </w:r>
          </w:p>
        </w:tc>
        <w:tc>
          <w:tcPr>
            <w:tcW w:type="dxa" w:w="3389"/>
            <w:shd w:fill="17324D"/>
          </w:tcPr>
          <w:p>
            <w:r>
              <w:rPr>
                <w:b/>
                <w:color w:val="FFFFFF"/>
              </w:rPr>
              <w:t>Resolution</w:t>
            </w:r>
          </w:p>
        </w:tc>
      </w:tr>
      <w:tr>
        <w:tc>
          <w:tcPr>
            <w:tcW w:type="dxa" w:w="3389"/>
            <w:shd w:fill="FFFFFF"/>
            <w:tcMar>
              <w:top w:w="70" w:type="dxa"/>
              <w:start w:w="90" w:type="dxa"/>
              <w:bottom w:w="70" w:type="dxa"/>
              <w:end w:w="90" w:type="dxa"/>
            </w:tcMar>
            <w:vAlign w:val="center"/>
          </w:tcPr>
          <w:p>
            <w:r>
              <w:t>Interaction Session ownership</w:t>
            </w:r>
          </w:p>
        </w:tc>
        <w:tc>
          <w:tcPr>
            <w:tcW w:type="dxa" w:w="3389"/>
            <w:shd w:fill="FFFFFF"/>
            <w:tcMar>
              <w:top w:w="70" w:type="dxa"/>
              <w:start w:w="90" w:type="dxa"/>
              <w:bottom w:w="70" w:type="dxa"/>
              <w:end w:w="90" w:type="dxa"/>
            </w:tcMar>
            <w:vAlign w:val="center"/>
          </w:tcPr>
          <w:p>
            <w:r>
              <w:t>Chapter 31 Interaction Manager owns Interaction Sessions; Chapter 14 Presence Manager supplies presence context.</w:t>
            </w:r>
          </w:p>
        </w:tc>
        <w:tc>
          <w:tcPr>
            <w:tcW w:type="dxa" w:w="3389"/>
            <w:shd w:fill="FFFFFF"/>
            <w:tcMar>
              <w:top w:w="70" w:type="dxa"/>
              <w:start w:w="90" w:type="dxa"/>
              <w:bottom w:w="70" w:type="dxa"/>
              <w:end w:w="90" w:type="dxa"/>
            </w:tcMar>
            <w:vAlign w:val="center"/>
          </w:tcPr>
          <w:p>
            <w:r>
              <w:t>Resolved</w:t>
            </w:r>
          </w:p>
        </w:tc>
      </w:tr>
      <w:tr>
        <w:tc>
          <w:tcPr>
            <w:tcW w:type="dxa" w:w="3389"/>
            <w:shd w:fill="F3F5F7"/>
            <w:tcMar>
              <w:top w:w="70" w:type="dxa"/>
              <w:start w:w="90" w:type="dxa"/>
              <w:bottom w:w="70" w:type="dxa"/>
              <w:end w:w="90" w:type="dxa"/>
            </w:tcMar>
            <w:vAlign w:val="center"/>
          </w:tcPr>
          <w:p>
            <w:r>
              <w:t>Conversation Object ownership</w:t>
            </w:r>
          </w:p>
        </w:tc>
        <w:tc>
          <w:tcPr>
            <w:tcW w:type="dxa" w:w="3389"/>
            <w:shd w:fill="F3F5F7"/>
            <w:tcMar>
              <w:top w:w="70" w:type="dxa"/>
              <w:start w:w="90" w:type="dxa"/>
              <w:bottom w:w="70" w:type="dxa"/>
              <w:end w:w="90" w:type="dxa"/>
            </w:tcMar>
            <w:vAlign w:val="center"/>
          </w:tcPr>
          <w:p>
            <w:r>
              <w:t>Chapter 12 Conversation Service owns canonical Conversation Objects; Chapter 23 Thread Service owns transport and delivery projections only.</w:t>
            </w:r>
          </w:p>
        </w:tc>
        <w:tc>
          <w:tcPr>
            <w:tcW w:type="dxa" w:w="3389"/>
            <w:shd w:fill="F3F5F7"/>
            <w:tcMar>
              <w:top w:w="70" w:type="dxa"/>
              <w:start w:w="90" w:type="dxa"/>
              <w:bottom w:w="70" w:type="dxa"/>
              <w:end w:w="90" w:type="dxa"/>
            </w:tcMar>
            <w:vAlign w:val="center"/>
          </w:tcPr>
          <w:p>
            <w:r>
              <w:t>Resolved</w:t>
            </w:r>
          </w:p>
        </w:tc>
      </w:tr>
      <w:tr>
        <w:tc>
          <w:tcPr>
            <w:tcW w:type="dxa" w:w="3389"/>
            <w:shd w:fill="FFFFFF"/>
            <w:tcMar>
              <w:top w:w="70" w:type="dxa"/>
              <w:start w:w="90" w:type="dxa"/>
              <w:bottom w:w="70" w:type="dxa"/>
              <w:end w:w="90" w:type="dxa"/>
            </w:tcMar>
            <w:vAlign w:val="center"/>
          </w:tcPr>
          <w:p>
            <w:r>
              <w:t>Treaty lifecycle ownership</w:t>
            </w:r>
          </w:p>
        </w:tc>
        <w:tc>
          <w:tcPr>
            <w:tcW w:type="dxa" w:w="3389"/>
            <w:shd w:fill="FFFFFF"/>
            <w:tcMar>
              <w:top w:w="70" w:type="dxa"/>
              <w:start w:w="90" w:type="dxa"/>
              <w:bottom w:w="70" w:type="dxa"/>
              <w:end w:w="90" w:type="dxa"/>
            </w:tcMar>
            <w:vAlign w:val="center"/>
          </w:tcPr>
          <w:p>
            <w:r>
              <w:t>Chapter 21 Treaty Manager is the sole authoritative Treaty lifecycle owner; Chapter 20 Constitutional Firewall consumes signed Treaty state for enforcement.</w:t>
            </w:r>
          </w:p>
        </w:tc>
        <w:tc>
          <w:tcPr>
            <w:tcW w:type="dxa" w:w="3389"/>
            <w:shd w:fill="FFFFFF"/>
            <w:tcMar>
              <w:top w:w="70" w:type="dxa"/>
              <w:start w:w="90" w:type="dxa"/>
              <w:bottom w:w="70" w:type="dxa"/>
              <w:end w:w="90" w:type="dxa"/>
            </w:tcMar>
            <w:vAlign w:val="center"/>
          </w:tcPr>
          <w:p>
            <w:r>
              <w:t>Resolved</w:t>
            </w:r>
          </w:p>
        </w:tc>
      </w:tr>
      <w:tr>
        <w:tc>
          <w:tcPr>
            <w:tcW w:type="dxa" w:w="3389"/>
            <w:shd w:fill="F3F5F7"/>
            <w:tcMar>
              <w:top w:w="70" w:type="dxa"/>
              <w:start w:w="90" w:type="dxa"/>
              <w:bottom w:w="70" w:type="dxa"/>
              <w:end w:w="90" w:type="dxa"/>
            </w:tcMar>
            <w:vAlign w:val="center"/>
          </w:tcPr>
          <w:p>
            <w:r>
              <w:t>Scheduling ownership</w:t>
            </w:r>
          </w:p>
        </w:tc>
        <w:tc>
          <w:tcPr>
            <w:tcW w:type="dxa" w:w="3389"/>
            <w:shd w:fill="F3F5F7"/>
            <w:tcMar>
              <w:top w:w="70" w:type="dxa"/>
              <w:start w:w="90" w:type="dxa"/>
              <w:bottom w:w="70" w:type="dxa"/>
              <w:end w:w="90" w:type="dxa"/>
            </w:tcMar>
            <w:vAlign w:val="center"/>
          </w:tcPr>
          <w:p>
            <w:r>
              <w:t>Chapter 8 Scheduler owns work admission and placement; Chapter 13 Temporal Engine owns temporal constraints and projections.</w:t>
            </w:r>
          </w:p>
        </w:tc>
        <w:tc>
          <w:tcPr>
            <w:tcW w:type="dxa" w:w="3389"/>
            <w:shd w:fill="F3F5F7"/>
            <w:tcMar>
              <w:top w:w="70" w:type="dxa"/>
              <w:start w:w="90" w:type="dxa"/>
              <w:bottom w:w="70" w:type="dxa"/>
              <w:end w:w="90" w:type="dxa"/>
            </w:tcMar>
            <w:vAlign w:val="center"/>
          </w:tcPr>
          <w:p>
            <w:r>
              <w:t>Resolved</w:t>
            </w:r>
          </w:p>
        </w:tc>
      </w:tr>
      <w:tr>
        <w:tc>
          <w:tcPr>
            <w:tcW w:type="dxa" w:w="3389"/>
            <w:shd w:fill="FFFFFF"/>
            <w:tcMar>
              <w:top w:w="70" w:type="dxa"/>
              <w:start w:w="90" w:type="dxa"/>
              <w:bottom w:w="70" w:type="dxa"/>
              <w:end w:w="90" w:type="dxa"/>
            </w:tcMar>
            <w:vAlign w:val="center"/>
          </w:tcPr>
          <w:p>
            <w:r>
              <w:t>Identity/Authority boundary</w:t>
            </w:r>
          </w:p>
        </w:tc>
        <w:tc>
          <w:tcPr>
            <w:tcW w:type="dxa" w:w="3389"/>
            <w:shd w:fill="FFFFFF"/>
            <w:tcMar>
              <w:top w:w="70" w:type="dxa"/>
              <w:start w:w="90" w:type="dxa"/>
              <w:bottom w:w="70" w:type="dxa"/>
              <w:end w:w="90" w:type="dxa"/>
            </w:tcMar>
            <w:vAlign w:val="center"/>
          </w:tcPr>
          <w:p>
            <w:r>
              <w:t>Identity Service and Authority Service are distinct services within one logical constitutional control domain.</w:t>
            </w:r>
          </w:p>
        </w:tc>
        <w:tc>
          <w:tcPr>
            <w:tcW w:type="dxa" w:w="3389"/>
            <w:shd w:fill="FFFFFF"/>
            <w:tcMar>
              <w:top w:w="70" w:type="dxa"/>
              <w:start w:w="90" w:type="dxa"/>
              <w:bottom w:w="70" w:type="dxa"/>
              <w:end w:w="90" w:type="dxa"/>
            </w:tcMar>
            <w:vAlign w:val="center"/>
          </w:tcPr>
          <w:p>
            <w:r>
              <w:t>Resolved</w:t>
            </w:r>
          </w:p>
        </w:tc>
      </w:tr>
      <w:tr>
        <w:tc>
          <w:tcPr>
            <w:tcW w:type="dxa" w:w="3389"/>
            <w:shd w:fill="F3F5F7"/>
            <w:tcMar>
              <w:top w:w="70" w:type="dxa"/>
              <w:start w:w="90" w:type="dxa"/>
              <w:bottom w:w="70" w:type="dxa"/>
              <w:end w:w="90" w:type="dxa"/>
            </w:tcMar>
            <w:vAlign w:val="center"/>
          </w:tcPr>
          <w:p>
            <w:r>
              <w:t>Protected decision authority</w:t>
            </w:r>
          </w:p>
        </w:tc>
        <w:tc>
          <w:tcPr>
            <w:tcW w:type="dxa" w:w="3389"/>
            <w:shd w:fill="F3F5F7"/>
            <w:tcMar>
              <w:top w:w="70" w:type="dxa"/>
              <w:start w:w="90" w:type="dxa"/>
              <w:bottom w:w="70" w:type="dxa"/>
              <w:end w:w="90" w:type="dxa"/>
            </w:tcMar>
            <w:vAlign w:val="center"/>
          </w:tcPr>
          <w:p>
            <w:r>
              <w:t>Authority Service evaluates ordinary authority and prepares protected decisions; only the Constitutional Kernel validates and commits protected decisions.</w:t>
            </w:r>
          </w:p>
        </w:tc>
        <w:tc>
          <w:tcPr>
            <w:tcW w:type="dxa" w:w="3389"/>
            <w:shd w:fill="F3F5F7"/>
            <w:tcMar>
              <w:top w:w="70" w:type="dxa"/>
              <w:start w:w="90" w:type="dxa"/>
              <w:bottom w:w="70" w:type="dxa"/>
              <w:end w:w="90" w:type="dxa"/>
            </w:tcMar>
            <w:vAlign w:val="center"/>
          </w:tcPr>
          <w:p>
            <w:r>
              <w:t>Resolved</w:t>
            </w:r>
          </w:p>
        </w:tc>
      </w:tr>
      <w:tr>
        <w:tc>
          <w:tcPr>
            <w:tcW w:type="dxa" w:w="3389"/>
            <w:shd w:fill="FFFFFF"/>
            <w:tcMar>
              <w:top w:w="70" w:type="dxa"/>
              <w:start w:w="90" w:type="dxa"/>
              <w:bottom w:w="70" w:type="dxa"/>
              <w:end w:w="90" w:type="dxa"/>
            </w:tcMar>
            <w:vAlign w:val="center"/>
          </w:tcPr>
          <w:p>
            <w:r>
              <w:t>Persistence ownership</w:t>
            </w:r>
          </w:p>
        </w:tc>
        <w:tc>
          <w:tcPr>
            <w:tcW w:type="dxa" w:w="3389"/>
            <w:shd w:fill="FFFFFF"/>
            <w:tcMar>
              <w:top w:w="70" w:type="dxa"/>
              <w:start w:w="90" w:type="dxa"/>
              <w:bottom w:w="70" w:type="dxa"/>
              <w:end w:w="90" w:type="dxa"/>
            </w:tcMar>
            <w:vAlign w:val="center"/>
          </w:tcPr>
          <w:p>
            <w:r>
              <w:t>Persistence components are physical custodians; domain services retain semantic ownership, with Evidence, Audit, Knowledge, and Experience remaining distinct domains.</w:t>
            </w:r>
          </w:p>
        </w:tc>
        <w:tc>
          <w:tcPr>
            <w:tcW w:type="dxa" w:w="3389"/>
            <w:shd w:fill="FFFFFF"/>
            <w:tcMar>
              <w:top w:w="70" w:type="dxa"/>
              <w:start w:w="90" w:type="dxa"/>
              <w:bottom w:w="70" w:type="dxa"/>
              <w:end w:w="90" w:type="dxa"/>
            </w:tcMar>
            <w:vAlign w:val="center"/>
          </w:tcPr>
          <w:p>
            <w:r>
              <w:t>Resolved</w:t>
            </w:r>
          </w:p>
        </w:tc>
      </w:tr>
    </w:tbl>
    <w:p/>
    <w:p>
      <w:pPr>
        <w:pStyle w:val="Heading1"/>
      </w:pPr>
      <w:r>
        <w:t>6. Certification Tests</w:t>
      </w:r>
    </w:p>
    <w:tbl>
      <w:tblPr>
        <w:tblW w:type="auto" w:w="0"/>
        <w:jc w:val="center"/>
        <w:tblLayout w:type="autofit"/>
        <w:tblLook w:firstColumn="1" w:firstRow="1" w:lastColumn="0" w:lastRow="0" w:noHBand="0" w:noVBand="1" w:val="04A0"/>
      </w:tblPr>
      <w:tblGrid>
        <w:gridCol w:w="5083"/>
        <w:gridCol w:w="5083"/>
      </w:tblGrid>
      <w:tr>
        <w:tc>
          <w:tcPr>
            <w:tcW w:type="dxa" w:w="5083"/>
            <w:shd w:fill="17324D"/>
          </w:tcPr>
          <w:p>
            <w:r>
              <w:rPr>
                <w:b/>
                <w:color w:val="FFFFFF"/>
              </w:rPr>
              <w:t>Test</w:t>
            </w:r>
          </w:p>
        </w:tc>
        <w:tc>
          <w:tcPr>
            <w:tcW w:type="dxa" w:w="5083"/>
            <w:shd w:fill="17324D"/>
          </w:tcPr>
          <w:p>
            <w:r>
              <w:rPr>
                <w:b/>
                <w:color w:val="FFFFFF"/>
              </w:rPr>
              <w:t>Result</w:t>
            </w:r>
          </w:p>
        </w:tc>
      </w:tr>
      <w:tr>
        <w:tc>
          <w:tcPr>
            <w:tcW w:type="dxa" w:w="5083"/>
            <w:shd w:fill="FFFFFF"/>
            <w:tcMar>
              <w:top w:w="70" w:type="dxa"/>
              <w:start w:w="90" w:type="dxa"/>
              <w:bottom w:w="70" w:type="dxa"/>
              <w:end w:w="90" w:type="dxa"/>
            </w:tcMar>
            <w:vAlign w:val="center"/>
          </w:tcPr>
          <w:p>
            <w:r>
              <w:t>Authoritative chapter selection</w:t>
            </w:r>
          </w:p>
        </w:tc>
        <w:tc>
          <w:tcPr>
            <w:tcW w:type="dxa" w:w="5083"/>
            <w:shd w:fill="FFFFFF"/>
            <w:tcMar>
              <w:top w:w="70" w:type="dxa"/>
              <w:start w:w="90" w:type="dxa"/>
              <w:bottom w:w="70" w:type="dxa"/>
              <w:end w:w="90" w:type="dxa"/>
            </w:tcMar>
            <w:vAlign w:val="center"/>
          </w:tcPr>
          <w:p>
            <w:r>
              <w:t>Passed</w:t>
            </w:r>
          </w:p>
        </w:tc>
      </w:tr>
      <w:tr>
        <w:tc>
          <w:tcPr>
            <w:tcW w:type="dxa" w:w="5083"/>
            <w:shd w:fill="F3F5F7"/>
            <w:tcMar>
              <w:top w:w="70" w:type="dxa"/>
              <w:start w:w="90" w:type="dxa"/>
              <w:bottom w:w="70" w:type="dxa"/>
              <w:end w:w="90" w:type="dxa"/>
            </w:tcMar>
            <w:vAlign w:val="center"/>
          </w:tcPr>
          <w:p>
            <w:r>
              <w:t>Required formats present</w:t>
            </w:r>
          </w:p>
        </w:tc>
        <w:tc>
          <w:tcPr>
            <w:tcW w:type="dxa" w:w="5083"/>
            <w:shd w:fill="F3F5F7"/>
            <w:tcMar>
              <w:top w:w="70" w:type="dxa"/>
              <w:start w:w="90" w:type="dxa"/>
              <w:bottom w:w="70" w:type="dxa"/>
              <w:end w:w="90" w:type="dxa"/>
            </w:tcMar>
            <w:vAlign w:val="center"/>
          </w:tcPr>
          <w:p>
            <w:r>
              <w:t>Passed</w:t>
            </w:r>
          </w:p>
        </w:tc>
      </w:tr>
      <w:tr>
        <w:tc>
          <w:tcPr>
            <w:tcW w:type="dxa" w:w="5083"/>
            <w:shd w:fill="FFFFFF"/>
            <w:tcMar>
              <w:top w:w="70" w:type="dxa"/>
              <w:start w:w="90" w:type="dxa"/>
              <w:bottom w:w="70" w:type="dxa"/>
              <w:end w:w="90" w:type="dxa"/>
            </w:tcMar>
            <w:vAlign w:val="center"/>
          </w:tcPr>
          <w:p>
            <w:r>
              <w:t>Decisions 1–58 represented</w:t>
            </w:r>
          </w:p>
        </w:tc>
        <w:tc>
          <w:tcPr>
            <w:tcW w:type="dxa" w:w="5083"/>
            <w:shd w:fill="FFFFFF"/>
            <w:tcMar>
              <w:top w:w="70" w:type="dxa"/>
              <w:start w:w="90" w:type="dxa"/>
              <w:bottom w:w="70" w:type="dxa"/>
              <w:end w:w="90" w:type="dxa"/>
            </w:tcMar>
            <w:vAlign w:val="center"/>
          </w:tcPr>
          <w:p>
            <w:r>
              <w:t>Passed</w:t>
            </w:r>
          </w:p>
        </w:tc>
      </w:tr>
      <w:tr>
        <w:tc>
          <w:tcPr>
            <w:tcW w:type="dxa" w:w="5083"/>
            <w:shd w:fill="F3F5F7"/>
            <w:tcMar>
              <w:top w:w="70" w:type="dxa"/>
              <w:start w:w="90" w:type="dxa"/>
              <w:bottom w:w="70" w:type="dxa"/>
              <w:end w:w="90" w:type="dxa"/>
            </w:tcMar>
            <w:vAlign w:val="center"/>
          </w:tcPr>
          <w:p>
            <w:r>
              <w:t>Approved Owner rules present</w:t>
            </w:r>
          </w:p>
        </w:tc>
        <w:tc>
          <w:tcPr>
            <w:tcW w:type="dxa" w:w="5083"/>
            <w:shd w:fill="F3F5F7"/>
            <w:tcMar>
              <w:top w:w="70" w:type="dxa"/>
              <w:start w:w="90" w:type="dxa"/>
              <w:bottom w:w="70" w:type="dxa"/>
              <w:end w:w="90" w:type="dxa"/>
            </w:tcMar>
            <w:vAlign w:val="center"/>
          </w:tcPr>
          <w:p>
            <w:r>
              <w:t>Passed</w:t>
            </w:r>
          </w:p>
        </w:tc>
      </w:tr>
      <w:tr>
        <w:tc>
          <w:tcPr>
            <w:tcW w:type="dxa" w:w="5083"/>
            <w:shd w:fill="FFFFFF"/>
            <w:tcMar>
              <w:top w:w="70" w:type="dxa"/>
              <w:start w:w="90" w:type="dxa"/>
              <w:bottom w:w="70" w:type="dxa"/>
              <w:end w:w="90" w:type="dxa"/>
            </w:tcMar>
            <w:vAlign w:val="center"/>
          </w:tcPr>
          <w:p>
            <w:r>
              <w:t>Superseded self-approval language absent from authoritative set</w:t>
            </w:r>
          </w:p>
        </w:tc>
        <w:tc>
          <w:tcPr>
            <w:tcW w:type="dxa" w:w="5083"/>
            <w:shd w:fill="FFFFFF"/>
            <w:tcMar>
              <w:top w:w="70" w:type="dxa"/>
              <w:start w:w="90" w:type="dxa"/>
              <w:bottom w:w="70" w:type="dxa"/>
              <w:end w:w="90" w:type="dxa"/>
            </w:tcMar>
            <w:vAlign w:val="center"/>
          </w:tcPr>
          <w:p>
            <w:r>
              <w:t>Passed</w:t>
            </w:r>
          </w:p>
        </w:tc>
      </w:tr>
      <w:tr>
        <w:tc>
          <w:tcPr>
            <w:tcW w:type="dxa" w:w="5083"/>
            <w:shd w:fill="F3F5F7"/>
            <w:tcMar>
              <w:top w:w="70" w:type="dxa"/>
              <w:start w:w="90" w:type="dxa"/>
              <w:bottom w:w="70" w:type="dxa"/>
              <w:end w:w="90" w:type="dxa"/>
            </w:tcMar>
            <w:vAlign w:val="center"/>
          </w:tcPr>
          <w:p>
            <w:r>
              <w:t>Superseded central-control wording absent</w:t>
            </w:r>
          </w:p>
        </w:tc>
        <w:tc>
          <w:tcPr>
            <w:tcW w:type="dxa" w:w="5083"/>
            <w:shd w:fill="F3F5F7"/>
            <w:tcMar>
              <w:top w:w="70" w:type="dxa"/>
              <w:start w:w="90" w:type="dxa"/>
              <w:bottom w:w="70" w:type="dxa"/>
              <w:end w:w="90" w:type="dxa"/>
            </w:tcMar>
            <w:vAlign w:val="center"/>
          </w:tcPr>
          <w:p>
            <w:r>
              <w:t>Passed</w:t>
            </w:r>
          </w:p>
        </w:tc>
      </w:tr>
      <w:tr>
        <w:tc>
          <w:tcPr>
            <w:tcW w:type="dxa" w:w="5083"/>
            <w:shd w:fill="FFFFFF"/>
            <w:tcMar>
              <w:top w:w="70" w:type="dxa"/>
              <w:start w:w="90" w:type="dxa"/>
              <w:bottom w:w="70" w:type="dxa"/>
              <w:end w:w="90" w:type="dxa"/>
            </w:tcMar>
            <w:vAlign w:val="center"/>
          </w:tcPr>
          <w:p>
            <w:r>
              <w:t>Cross-chapter canonical ownership coherent</w:t>
            </w:r>
          </w:p>
        </w:tc>
        <w:tc>
          <w:tcPr>
            <w:tcW w:type="dxa" w:w="5083"/>
            <w:shd w:fill="FFFFFF"/>
            <w:tcMar>
              <w:top w:w="70" w:type="dxa"/>
              <w:start w:w="90" w:type="dxa"/>
              <w:bottom w:w="70" w:type="dxa"/>
              <w:end w:w="90" w:type="dxa"/>
            </w:tcMar>
            <w:vAlign w:val="center"/>
          </w:tcPr>
          <w:p>
            <w:r>
              <w:t>Passed</w:t>
            </w:r>
          </w:p>
        </w:tc>
      </w:tr>
      <w:tr>
        <w:tc>
          <w:tcPr>
            <w:tcW w:type="dxa" w:w="5083"/>
            <w:shd w:fill="F3F5F7"/>
            <w:tcMar>
              <w:top w:w="70" w:type="dxa"/>
              <w:start w:w="90" w:type="dxa"/>
              <w:bottom w:w="70" w:type="dxa"/>
              <w:end w:w="90" w:type="dxa"/>
            </w:tcMar>
            <w:vAlign w:val="center"/>
          </w:tcPr>
          <w:p>
            <w:r>
              <w:t>Revised PDFs visually inspected</w:t>
            </w:r>
          </w:p>
        </w:tc>
        <w:tc>
          <w:tcPr>
            <w:tcW w:type="dxa" w:w="5083"/>
            <w:shd w:fill="F3F5F7"/>
            <w:tcMar>
              <w:top w:w="70" w:type="dxa"/>
              <w:start w:w="90" w:type="dxa"/>
              <w:bottom w:w="70" w:type="dxa"/>
              <w:end w:w="90" w:type="dxa"/>
            </w:tcMar>
            <w:vAlign w:val="center"/>
          </w:tcPr>
          <w:p>
            <w:r>
              <w:t>Passed</w:t>
            </w:r>
          </w:p>
        </w:tc>
      </w:tr>
      <w:tr>
        <w:tc>
          <w:tcPr>
            <w:tcW w:type="dxa" w:w="5083"/>
            <w:shd w:fill="FFFFFF"/>
            <w:tcMar>
              <w:top w:w="70" w:type="dxa"/>
              <w:start w:w="90" w:type="dxa"/>
              <w:bottom w:w="70" w:type="dxa"/>
              <w:end w:w="90" w:type="dxa"/>
            </w:tcMar>
            <w:vAlign w:val="center"/>
          </w:tcPr>
          <w:p>
            <w:r>
              <w:t>Remaining Owner decisions</w:t>
            </w:r>
          </w:p>
        </w:tc>
        <w:tc>
          <w:tcPr>
            <w:tcW w:type="dxa" w:w="5083"/>
            <w:shd w:fill="FFFFFF"/>
            <w:tcMar>
              <w:top w:w="70" w:type="dxa"/>
              <w:start w:w="90" w:type="dxa"/>
              <w:bottom w:w="70" w:type="dxa"/>
              <w:end w:w="90" w:type="dxa"/>
            </w:tcMar>
            <w:vAlign w:val="center"/>
          </w:tcPr>
          <w:p>
            <w:r>
              <w:t>None</w:t>
            </w:r>
          </w:p>
        </w:tc>
      </w:tr>
      <w:tr>
        <w:tc>
          <w:tcPr>
            <w:tcW w:type="dxa" w:w="5083"/>
            <w:shd w:fill="F3F5F7"/>
            <w:tcMar>
              <w:top w:w="70" w:type="dxa"/>
              <w:start w:w="90" w:type="dxa"/>
              <w:bottom w:w="70" w:type="dxa"/>
              <w:end w:w="90" w:type="dxa"/>
            </w:tcMar>
            <w:vAlign w:val="center"/>
          </w:tcPr>
          <w:p>
            <w:r>
              <w:t>Remaining constitutional contradictions</w:t>
            </w:r>
          </w:p>
        </w:tc>
        <w:tc>
          <w:tcPr>
            <w:tcW w:type="dxa" w:w="5083"/>
            <w:shd w:fill="F3F5F7"/>
            <w:tcMar>
              <w:top w:w="70" w:type="dxa"/>
              <w:start w:w="90" w:type="dxa"/>
              <w:bottom w:w="70" w:type="dxa"/>
              <w:end w:w="90" w:type="dxa"/>
            </w:tcMar>
            <w:vAlign w:val="center"/>
          </w:tcPr>
          <w:p>
            <w:r>
              <w:t>None identified</w:t>
            </w:r>
          </w:p>
        </w:tc>
      </w:tr>
    </w:tbl>
    <w:p/>
    <w:p>
      <w:pPr>
        <w:pStyle w:val="Heading1"/>
      </w:pPr>
      <w:r>
        <w:t>7. Certification Boundary</w:t>
      </w:r>
    </w:p>
    <w:p>
      <w:r>
        <w:t>This audit certifies that the authoritative Book II architecture:</w:t>
      </w:r>
    </w:p>
    <w:p>
      <w:pPr>
        <w:pStyle w:val="ListBullet"/>
      </w:pPr>
      <w:r>
        <w:t>faithfully implements the currently adopted Book I Constitution;</w:t>
      </w:r>
    </w:p>
    <w:p>
      <w:pPr>
        <w:pStyle w:val="ListBullet"/>
      </w:pPr>
      <w:r>
        <w:t>contains coherent component responsibilities and enforcement boundaries;</w:t>
      </w:r>
    </w:p>
    <w:p>
      <w:pPr>
        <w:pStyle w:val="ListBullet"/>
      </w:pPr>
      <w:r>
        <w:t>records the Owner’s approved policy choices without expanding them;</w:t>
      </w:r>
    </w:p>
    <w:p>
      <w:pPr>
        <w:pStyle w:val="ListBullet"/>
      </w:pPr>
      <w:r>
        <w:t>is ready to serve as the architecture baseline for implementation planning.</w:t>
      </w:r>
    </w:p>
    <w:p>
      <w:r>
        <w:t>This audit does not establish that any implementation conforms. Conformance of code, configuration, infrastructure, capabilities, Treaties, migrations, or operating procedures must be proven using Chapter 35’s certification process and the applicable verification policies.</w:t>
      </w:r>
    </w:p>
    <w:p>
      <w:pPr>
        <w:pStyle w:val="Heading1"/>
      </w:pPr>
      <w:r>
        <w:t>8. Final Certification Statement</w:t>
      </w:r>
    </w:p>
    <w:p>
      <w:r>
        <w:rPr>
          <w:b/>
        </w:rPr>
        <w:t>HAL Book II — The Architecture Specification, Chapters 1–35, is certified constitutionally conformant at the document-architecture level.</w:t>
      </w:r>
    </w:p>
    <w:p>
      <w:r>
        <w:t>No unresolved Owner decision or identified constitutional conflict prevents adoption of this chapter set as the authoritative Book II baseline.</w:t>
      </w:r>
    </w:p>
    <w:p>
      <w:r>
        <w:t>The Constitution remains supreme. If a future ambiguity or conflict is discovered, Book I controls and Book II must be corrected through governed change.</w:t>
      </w:r>
    </w:p>
    <w:p>
      <w:pPr>
        <w:pStyle w:val="Heading1"/>
      </w:pPr>
      <w:r>
        <w:t>Document Control</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7324D"/>
          </w:tcPr>
          <w:p>
            <w:r>
              <w:rPr>
                <w:b/>
                <w:color w:val="FFFFFF"/>
              </w:rPr>
              <w:t>Version</w:t>
            </w:r>
          </w:p>
        </w:tc>
        <w:tc>
          <w:tcPr>
            <w:tcW w:type="dxa" w:w="2541"/>
            <w:shd w:fill="17324D"/>
          </w:tcPr>
          <w:p>
            <w:r>
              <w:rPr>
                <w:b/>
                <w:color w:val="FFFFFF"/>
              </w:rPr>
              <w:t>Date</w:t>
            </w:r>
          </w:p>
        </w:tc>
        <w:tc>
          <w:tcPr>
            <w:tcW w:type="dxa" w:w="2541"/>
            <w:shd w:fill="17324D"/>
          </w:tcPr>
          <w:p>
            <w:r>
              <w:rPr>
                <w:b/>
                <w:color w:val="FFFFFF"/>
              </w:rPr>
              <w:t>Change</w:t>
            </w:r>
          </w:p>
        </w:tc>
        <w:tc>
          <w:tcPr>
            <w:tcW w:type="dxa" w:w="2541"/>
            <w:shd w:fill="17324D"/>
          </w:tcPr>
          <w:p>
            <w:r>
              <w:rPr>
                <w:b/>
                <w:color w:val="FFFFFF"/>
              </w:rPr>
              <w:t>Status</w:t>
            </w:r>
          </w:p>
        </w:tc>
      </w:tr>
      <w:tr>
        <w:tc>
          <w:tcPr>
            <w:tcW w:type="dxa" w:w="2541"/>
            <w:shd w:fill="FFFFFF"/>
            <w:tcMar>
              <w:top w:w="70" w:type="dxa"/>
              <w:start w:w="90" w:type="dxa"/>
              <w:bottom w:w="70" w:type="dxa"/>
              <w:end w:w="90" w:type="dxa"/>
            </w:tcMar>
            <w:vAlign w:val="center"/>
          </w:tcPr>
          <w:p>
            <w:r>
              <w:t>1.0</w:t>
            </w:r>
          </w:p>
        </w:tc>
        <w:tc>
          <w:tcPr>
            <w:tcW w:type="dxa" w:w="2541"/>
            <w:shd w:fill="FFFFFF"/>
            <w:tcMar>
              <w:top w:w="70" w:type="dxa"/>
              <w:start w:w="90" w:type="dxa"/>
              <w:bottom w:w="70" w:type="dxa"/>
              <w:end w:w="90" w:type="dxa"/>
            </w:tcMar>
            <w:vAlign w:val="center"/>
          </w:tcPr>
          <w:p>
            <w:r>
              <w:t>July 27, 2026</w:t>
            </w:r>
          </w:p>
        </w:tc>
        <w:tc>
          <w:tcPr>
            <w:tcW w:type="dxa" w:w="2541"/>
            <w:shd w:fill="FFFFFF"/>
            <w:tcMar>
              <w:top w:w="70" w:type="dxa"/>
              <w:start w:w="90" w:type="dxa"/>
              <w:bottom w:w="70" w:type="dxa"/>
              <w:end w:w="90" w:type="dxa"/>
            </w:tcMar>
            <w:vAlign w:val="center"/>
          </w:tcPr>
          <w:p>
            <w:r>
              <w:t>Final certification after Owner decisions and whole-book corrections</w:t>
            </w:r>
          </w:p>
        </w:tc>
        <w:tc>
          <w:tcPr>
            <w:tcW w:type="dxa" w:w="2541"/>
            <w:shd w:fill="FFFFFF"/>
            <w:tcMar>
              <w:top w:w="70" w:type="dxa"/>
              <w:start w:w="90" w:type="dxa"/>
              <w:bottom w:w="70" w:type="dxa"/>
              <w:end w:w="90" w:type="dxa"/>
            </w:tcMar>
            <w:vAlign w:val="center"/>
          </w:tcPr>
          <w:p>
            <w:r>
              <w:t>Certified</w:t>
            </w:r>
          </w:p>
        </w:tc>
      </w:tr>
    </w:tbl>
    <w:p/>
    <w:sectPr w:rsidR="00FC693F" w:rsidRPr="0006063C" w:rsidSect="00034616">
      <w:headerReference w:type="default" r:id="rId9"/>
      <w:footerReference w:type="default" r:id="rId10"/>
      <w:pgSz w:w="12240" w:h="15840"/>
      <w:pgMar w:top="1080"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Final constitutional architecture certification  •  v1.0</w:t>
    </w:r>
    <w: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648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D7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2F64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Metadata">
    <w:name w:val="Audit Metadata"/>
    <w:pPr>
      <w:spacing w:after="60"/>
    </w:pPr>
    <w:rPr>
      <w:rFonts w:ascii="Aptos" w:hAnsi="Aptos"/>
      <w:color w:val="4150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Book II — Final Constitutional Certification Audit</dc:title>
  <dc:subject>Final certification of Book II Chapters 1–35 against Book I</dc:subject>
  <dc:creator>HAL Architecture Review</dc:creator>
  <cp:keywords>HAL, Book II, architecture, constitution, final certification</cp:keywords>
  <dc:description>generated by python-docx</dc:description>
  <cp:lastModifiedBy/>
  <cp:revision>1</cp:revision>
  <dcterms:created xsi:type="dcterms:W3CDTF">2013-12-23T23:15:00Z</dcterms:created>
  <dcterms:modified xsi:type="dcterms:W3CDTF">2013-12-23T23:15:00Z</dcterms:modified>
  <cp:category/>
</cp:coreProperties>
</file>