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 Book III</w:t>
        <w:br/>
        <w:t>Engineering Standards</w:t>
      </w:r>
    </w:p>
    <w:p>
      <w:pPr>
        <w:jc w:val="center"/>
      </w:pPr>
      <w:r>
        <w:rPr>
          <w:i/>
        </w:rPr>
        <w:t>Final v1.0 | 27 July 2026</w:t>
        <w:br/>
        <w:t>Book I is supreme. Book II is authoritative.</w:t>
      </w:r>
    </w:p>
    <w:p>
      <w:r/>
    </w:p>
    <w:p>
      <w:pPr>
        <w:pStyle w:val="Title"/>
      </w:pPr>
      <w:r>
        <w:t>HAL Book III - Engineering Standards</w:t>
      </w:r>
    </w:p>
    <w:p>
      <w:pPr>
        <w:pStyle w:val="Heading1"/>
      </w:pPr>
      <w:r>
        <w:t>Revision history</w:t>
      </w:r>
    </w:p>
    <w:p>
      <w:pPr>
        <w:pStyle w:val="Heading1"/>
      </w:pPr>
      <w:r>
        <w:t>Table of contents</w:t>
      </w:r>
    </w:p>
    <w:p>
      <w:r>
        <w:t>1. Foundations, Authority, and Lifecycle</w:t>
      </w:r>
    </w:p>
    <w:p>
      <w:r>
        <w:t>2. Repository, Source, and Configuration Management</w:t>
      </w:r>
    </w:p>
    <w:p>
      <w:r>
        <w:t>3. Software Design and Contract Engineering</w:t>
      </w:r>
    </w:p>
    <w:p>
      <w:r>
        <w:t>4. Implementation Quality and Observability</w:t>
      </w:r>
    </w:p>
    <w:p>
      <w:r>
        <w:t>5. Security, Privacy, and Trust-Boundary Engineering</w:t>
      </w:r>
    </w:p>
    <w:p>
      <w:r>
        <w:t>6. Testing, Verification, and Simulation</w:t>
      </w:r>
    </w:p>
    <w:p>
      <w:r>
        <w:t>7. Delivery, Change, and Release Governance</w:t>
      </w:r>
    </w:p>
    <w:p>
      <w:r>
        <w:t>8. Review, Assurance, and Technical Debt</w:t>
      </w:r>
    </w:p>
    <w:p>
      <w:r>
        <w:t>9. Control Operations, Exceptions, and Certification</w:t>
      </w:r>
    </w:p>
    <w:p>
      <w:pPr>
        <w:pStyle w:val="Heading1"/>
      </w:pPr>
      <w:r>
        <w:t>Authority statement</w:t>
      </w:r>
    </w:p>
    <w:p>
      <w:r>
        <w:t>Book III MUST NOT alter, weaken, reinterpret, or contradict Book I or Book II. When a conflict is found, stop applying the conflicting Book III rule, preserve the higher-order requirement, record the conflict, and recommend a Book III correction.</w:t>
      </w:r>
    </w:p>
    <w:p>
      <w:pPr>
        <w:pStyle w:val="Title"/>
      </w:pPr>
      <w:r>
        <w:t>Chapter 1 - Foundations, Authority, and Lifecycle</w:t>
      </w:r>
    </w:p>
    <w:p>
      <w:pPr>
        <w:pStyle w:val="Heading1"/>
      </w:pPr>
      <w:r>
        <w:t>1. Document control</w:t>
      </w:r>
    </w:p>
    <w:p>
      <w:r>
        <w:t>Status: Final. Control families: GOV-001 GOV-002 GOV-003 GOV-004 GOV-005. Version: 1.0. Source authority: Book I then Book II.</w:t>
      </w:r>
    </w:p>
    <w:p>
      <w:pPr>
        <w:pStyle w:val="Heading1"/>
      </w:pPr>
      <w:r>
        <w:t>2. Purpose</w:t>
      </w:r>
    </w:p>
    <w:p>
      <w:r>
        <w:t>This chapter defines enforceable common engineering standards for purpose, normative language, roles, lifecycle, conformance, exceptions, adrs, documentation, evidence.</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I-XII; Decisions 5, 25, 37, 43, 49, 58. Book II 01, 03, 05, 29,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Every consequential change MUST identify its Book I and Book II source, responsible role, risk class, verification method, durable evidence location, and active exception status before merge. A lower-order artifact MUST NOT weaken a higher-order source.</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A change that lacks authority traceability, a review record, or required evidence MUST NOT merge or release.</w:t>
      </w:r>
    </w:p>
    <w:p>
      <w:pPr>
        <w:pStyle w:val="Heading1"/>
      </w:pPr>
      <w:r>
        <w:t>9. Required evidence</w:t>
      </w:r>
    </w:p>
    <w:p>
      <w:r>
        <w:t>Source-linked change record, ADR, test result, review approval, exception record where applicable.</w:t>
      </w:r>
    </w:p>
    <w:p>
      <w:pPr>
        <w:pStyle w:val="Heading1"/>
      </w:pPr>
      <w:r>
        <w:t>10. Automated enforcement</w:t>
      </w:r>
    </w:p>
    <w:p>
      <w:r>
        <w:t>Protected-path metadata checks; required PR fields; release gate.</w:t>
      </w:r>
    </w:p>
    <w:p>
      <w:pPr>
        <w:pStyle w:val="Heading1"/>
      </w:pPr>
      <w:r>
        <w:t>11. Human review requirements</w:t>
      </w:r>
    </w:p>
    <w:p>
      <w:r>
        <w:t>Principal Engineer and designated reviewers verify authority mapping; Architecture Authority reviews deviations.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I-XII; Decisions 5, 25, 37, 43, 49, 58.</w:t>
      </w:r>
    </w:p>
    <w:p>
      <w:pPr>
        <w:pStyle w:val="Heading1"/>
      </w:pPr>
      <w:r>
        <w:t>20. Traceability to Book II</w:t>
      </w:r>
    </w:p>
    <w:p>
      <w:r>
        <w:t>Book II 01, 03, 05, 29,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2 - Repository, Source, and Configuration Management</w:t>
      </w:r>
    </w:p>
    <w:p>
      <w:pPr>
        <w:pStyle w:val="Heading1"/>
      </w:pPr>
      <w:r>
        <w:t>1. Document control</w:t>
      </w:r>
    </w:p>
    <w:p>
      <w:r>
        <w:t>Status: Final. Control families: SRC-001 SRC-002 SRC-003 SRC-004 SRC-005 SRC-006. Version: 1.0. Source authority: Book I then Book II.</w:t>
      </w:r>
    </w:p>
    <w:p>
      <w:pPr>
        <w:pStyle w:val="Heading1"/>
      </w:pPr>
      <w:r>
        <w:t>2. Purpose</w:t>
      </w:r>
    </w:p>
    <w:p>
      <w:r>
        <w:t>This chapter defines enforceable common engineering standards for repository structure, source control, integration, commits, ownership, dependencies, generated artifacts, configuration, secrets.</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37, 39, 40, 43. Book II 03, 25, 26, 29.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Repositories MUST separate source, generated artifacts, configuration schemas, interfaces, tests, evidence, and deployment manifests. Secrets MUST NOT enter source control, logs, fixtures, images, or build outputs. Each dependency MUST have an owner, version constraint, provenance record, and vulnerability disposition.</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Direct protected-branch changes, unreviewed generated output, floating dependencies admitted to a declared live-effect environment, and ambient secrets are prohibited.</w:t>
      </w:r>
    </w:p>
    <w:p>
      <w:pPr>
        <w:pStyle w:val="Heading1"/>
      </w:pPr>
      <w:r>
        <w:t>9. Required evidence</w:t>
      </w:r>
    </w:p>
    <w:p>
      <w:r>
        <w:t>PR, SBOM, dependency attestation, generated-artifact provenance, configuration validation result.</w:t>
      </w:r>
    </w:p>
    <w:p>
      <w:pPr>
        <w:pStyle w:val="Heading1"/>
      </w:pPr>
      <w:r>
        <w:t>10. Automated enforcement</w:t>
      </w:r>
    </w:p>
    <w:p>
      <w:r>
        <w:t>Secret scanning, signed-commit/provenance checks, dependency SBOM and vulnerability policy.</w:t>
      </w:r>
    </w:p>
    <w:p>
      <w:pPr>
        <w:pStyle w:val="Heading1"/>
      </w:pPr>
      <w:r>
        <w:t>11. Human review requirements</w:t>
      </w:r>
    </w:p>
    <w:p>
      <w:r>
        <w:t>Code owners review protected paths; security reviews secret and dependency exceptions.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37, 39, 40, 43.</w:t>
      </w:r>
    </w:p>
    <w:p>
      <w:pPr>
        <w:pStyle w:val="Heading1"/>
      </w:pPr>
      <w:r>
        <w:t>20. Traceability to Book II</w:t>
      </w:r>
    </w:p>
    <w:p>
      <w:r>
        <w:t>Book II 03, 25, 26, 29.</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3 - Software Design and Contract Engineering</w:t>
      </w:r>
    </w:p>
    <w:p>
      <w:pPr>
        <w:pStyle w:val="Heading1"/>
      </w:pPr>
      <w:r>
        <w:t>1. Document control</w:t>
      </w:r>
    </w:p>
    <w:p>
      <w:r>
        <w:t>Status: Final. Control families: DES-001 DES-002 DES-003 DES-004 DES-005 DES-006. Version: 1.0. Source authority: Book I then Book II.</w:t>
      </w:r>
    </w:p>
    <w:p>
      <w:pPr>
        <w:pStyle w:val="Heading1"/>
      </w:pPr>
      <w:r>
        <w:t>2. Purpose</w:t>
      </w:r>
    </w:p>
    <w:p>
      <w:r>
        <w:t>This chapter defines enforceable common engineering standards for modularity, component boundaries, interfaces, compatibility, state, events, concurrency, idempotency, time, errors, resources, degradation, rollback, reality boundary.</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2-5, 15-16, 20, 23-24, 35, 44, 50. Book II 01, 02, 15, 16, 22, 23, 24.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Each durable state domain MUST have one mutation owner. Commands MUST request authoritative state change, queries MUST NOT mutate, and events MUST represent completed facts. Public contracts MUST declare versioning, Authority scope, Permission-decision context, idempotency, ordering scope, time semantics, error model, and compatibility policy.</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Last-write-wins on authoritative state without an approved invariant-preservation Verification result, unscoped retries, and reality-affecting work without an explicit commit barrier are prohibited.</w:t>
      </w:r>
    </w:p>
    <w:p>
      <w:pPr>
        <w:pStyle w:val="Heading1"/>
      </w:pPr>
      <w:r>
        <w:t>9. Required evidence</w:t>
      </w:r>
    </w:p>
    <w:p>
      <w:r>
        <w:t>Contract definitions, state-transition diagrams, ADR, compatibility report, test evidence, recovery plan.</w:t>
      </w:r>
    </w:p>
    <w:p>
      <w:pPr>
        <w:pStyle w:val="Heading1"/>
      </w:pPr>
      <w:r>
        <w:t>10. Automated enforcement</w:t>
      </w:r>
    </w:p>
    <w:p>
      <w:r>
        <w:t>Schema/contract compatibility, state-machine, idempotency, ordering, failure-injection, and rollback tests.</w:t>
      </w:r>
    </w:p>
    <w:p>
      <w:pPr>
        <w:pStyle w:val="Heading1"/>
      </w:pPr>
      <w:r>
        <w:t>11. Human review requirements</w:t>
      </w:r>
    </w:p>
    <w:p>
      <w:r>
        <w:t>Architecture review is required for state ownership, cross-domain contracts, and Reality Boundary changes.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2-5, 15-16, 20, 23-24, 35, 44, 50.</w:t>
      </w:r>
    </w:p>
    <w:p>
      <w:pPr>
        <w:pStyle w:val="Heading1"/>
      </w:pPr>
      <w:r>
        <w:t>20. Traceability to Book II</w:t>
      </w:r>
    </w:p>
    <w:p>
      <w:r>
        <w:t>Book II 01, 02, 15, 16, 22, 23, 24.</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4 - Implementation Quality and Observability</w:t>
      </w:r>
    </w:p>
    <w:p>
      <w:pPr>
        <w:pStyle w:val="Heading1"/>
      </w:pPr>
      <w:r>
        <w:t>1. Document control</w:t>
      </w:r>
    </w:p>
    <w:p>
      <w:r>
        <w:t>Status: Final. Control families: OBS-001 OBS-002 OBS-003 OBS-004 DOC-001. Version: 1.0. Source authority: Book I then Book II.</w:t>
      </w:r>
    </w:p>
    <w:p>
      <w:pPr>
        <w:pStyle w:val="Heading1"/>
      </w:pPr>
      <w:r>
        <w:t>2. Purpose</w:t>
      </w:r>
    </w:p>
    <w:p>
      <w:r>
        <w:t>This chapter defines enforceable common engineering standards for language/runtime, readability, types, validation, error handling, logging, metrics/tracing, performance, accessibility, localization, deprecation.</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II, VI, VII, XI, XII; Decisions 40, 43. Book II 25, 31, 32.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Implementation MUST validate untrusted input at the boundary, preserve typed error categories, emit structured correlation-aware evidence, and keep security, privacy, and authority context separate. Performance work MUST state workload, budget, measurement method, and regression threshold.</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Sensitive data in unrestricted logs; swallowed errors; unbounded retries; breaking removal without deprecation path; inaccessible primary interaction paths are prohibited.</w:t>
      </w:r>
    </w:p>
    <w:p>
      <w:pPr>
        <w:pStyle w:val="Heading1"/>
      </w:pPr>
      <w:r>
        <w:t>9. Required evidence</w:t>
      </w:r>
    </w:p>
    <w:p>
      <w:r>
        <w:t>Lint/type results, log schema, trace sample, benchmark, accessibility report, deprecation notice.</w:t>
      </w:r>
    </w:p>
    <w:p>
      <w:pPr>
        <w:pStyle w:val="Heading1"/>
      </w:pPr>
      <w:r>
        <w:t>10. Automated enforcement</w:t>
      </w:r>
    </w:p>
    <w:p>
      <w:r>
        <w:t>Static analysis, type checks, log-schema checks, performance regression tests, accessibility tests.</w:t>
      </w:r>
    </w:p>
    <w:p>
      <w:pPr>
        <w:pStyle w:val="Heading1"/>
      </w:pPr>
      <w:r>
        <w:t>11. Human review requirements</w:t>
      </w:r>
    </w:p>
    <w:p>
      <w:r>
        <w:t>Peer reviewer checks readability and errors; observability and accessibility owners review high-risk changes.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II, VI, VII, XI, XII; Decisions 40, 43.</w:t>
      </w:r>
    </w:p>
    <w:p>
      <w:pPr>
        <w:pStyle w:val="Heading1"/>
      </w:pPr>
      <w:r>
        <w:t>20. Traceability to Book II</w:t>
      </w:r>
    </w:p>
    <w:p>
      <w:r>
        <w:t>Book II 25, 31, 32.</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5 - Security, Privacy, and Trust-Boundary Engineering</w:t>
      </w:r>
    </w:p>
    <w:p>
      <w:pPr>
        <w:pStyle w:val="Heading1"/>
      </w:pPr>
      <w:r>
        <w:t>1. Document control</w:t>
      </w:r>
    </w:p>
    <w:p>
      <w:r>
        <w:t>Status: Final. Control families: SEC-001 SEC-002 SEC-003 SEC-004 SEC-005 SEC-006 PRV-001 PRV-002. Version: 1.0. Source authority: Book I then Book II.</w:t>
      </w:r>
    </w:p>
    <w:p>
      <w:pPr>
        <w:pStyle w:val="Heading1"/>
      </w:pPr>
      <w:r>
        <w:t>2. Purpose</w:t>
      </w:r>
    </w:p>
    <w:p>
      <w:r>
        <w:t>This chapter defines enforceable common engineering standards for sdl, threat models, identity, authentication, authority, permission, least privilege, firewall, crypto, classification, privacy, treaties, supply chain, vulnerabilities.</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I, II, V, VI, VIII, XI, XII; Decisions 26-27, 32, 36-37, 39, 48-49. Book II 04, 05, 18, 19, 20, 21, 26.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Every request crossing a trust boundary MUST carry authenticated identity, bounded Authority, purpose, provenance, and correlation context. Permission MUST be evaluated by the authoritative policy path within current Authority, not inferred from network, role label, secret possession, or provider usefulness. Data collection and disclosure MUST follow a classification, purpose, minimization, retention, and deletion/archival rule.</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Treating trust as authority; cross-domain exchange outside the Constitutional Firewall; long-lived ambient credentials; unapproved Treaty or new capability class; plaintext sensitive data in transit or at rest are prohibited.</w:t>
      </w:r>
    </w:p>
    <w:p>
      <w:pPr>
        <w:pStyle w:val="Heading1"/>
      </w:pPr>
      <w:r>
        <w:t>9. Required evidence</w:t>
      </w:r>
    </w:p>
    <w:p>
      <w:r>
        <w:t>Threat model, data inventory, access decision log, Treaty record, key-management record, SBOM, vulnerability disposition.</w:t>
      </w:r>
    </w:p>
    <w:p>
      <w:pPr>
        <w:pStyle w:val="Heading1"/>
      </w:pPr>
      <w:r>
        <w:t>10. Automated enforcement</w:t>
      </w:r>
    </w:p>
    <w:p>
      <w:r>
        <w:t>Threat-model, negative Authority and Permission, firewall, privacy, cryptographic, dependency-provenance, and penetration tests.</w:t>
      </w:r>
    </w:p>
    <w:p>
      <w:pPr>
        <w:pStyle w:val="Heading1"/>
      </w:pPr>
      <w:r>
        <w:t>11. Human review requirements</w:t>
      </w:r>
    </w:p>
    <w:p>
      <w:r>
        <w:t>Security Authority reviews threats and exceptions; Privacy Authority reviews data use; Owner authority is required only where Book I reserves it.</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I, II, V, VI, VIII, XI, XII; Decisions 26-27, 32, 36-37, 39, 48-49.</w:t>
      </w:r>
    </w:p>
    <w:p>
      <w:pPr>
        <w:pStyle w:val="Heading1"/>
      </w:pPr>
      <w:r>
        <w:t>20. Traceability to Book II</w:t>
      </w:r>
    </w:p>
    <w:p>
      <w:r>
        <w:t>Book II 04, 05, 18, 19, 20, 21, 26.</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6 - Testing, Verification, and Simulation</w:t>
      </w:r>
    </w:p>
    <w:p>
      <w:pPr>
        <w:pStyle w:val="Heading1"/>
      </w:pPr>
      <w:r>
        <w:t>1. Document control</w:t>
      </w:r>
    </w:p>
    <w:p>
      <w:r>
        <w:t>Status: Final. Control families: TST-001 TST-002 TST-003 TST-004 VER-001 VER-002 VER-003. Version: 1.0. Source authority: Book I then Book II.</w:t>
      </w:r>
    </w:p>
    <w:p>
      <w:pPr>
        <w:pStyle w:val="Heading1"/>
      </w:pPr>
      <w:r>
        <w:t>2. Purpose</w:t>
      </w:r>
    </w:p>
    <w:p>
      <w:r>
        <w:t>This chapter defines enforceable common engineering standards for test strategy, unit through system, property/security/privacy tests, failure injection, recovery, simulation, shadow/canary, determinism, test data, risk coverage.</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22, 34-35, 42-43, 50, 56. Book II 16, 17, 27, 28,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Verification MUST be risk-based and MUST cover requirements, authority paths, trust boundaries, state transitions, failure and recovery paths, privacy obligations, constitutional invariants, and Reality Boundary actions. Code coverage alone MUST NOT be used as a release decision.</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Testing first in a declared live-effect environment or effect-capable Reality Boundary stage for a new or materially changed action, ungoverned test data, and non-reproducible critical verification are prohibited.</w:t>
      </w:r>
    </w:p>
    <w:p>
      <w:pPr>
        <w:pStyle w:val="Heading1"/>
      </w:pPr>
      <w:r>
        <w:t>9. Required evidence</w:t>
      </w:r>
    </w:p>
    <w:p>
      <w:r>
        <w:t>Verification plan, risk matrix, test results, simulation/shadow report, recovery drill record, release decision.</w:t>
      </w:r>
    </w:p>
    <w:p>
      <w:pPr>
        <w:pStyle w:val="Heading1"/>
      </w:pPr>
      <w:r>
        <w:t>10. Automated enforcement</w:t>
      </w:r>
    </w:p>
    <w:p>
      <w:r>
        <w:t>CI test gates, deterministic replay, simulation fidelity records, canary analysis, test-data checks.</w:t>
      </w:r>
    </w:p>
    <w:p>
      <w:pPr>
        <w:pStyle w:val="Heading1"/>
      </w:pPr>
      <w:r>
        <w:t>11. Human review requirements</w:t>
      </w:r>
    </w:p>
    <w:p>
      <w:r>
        <w:t>Test lead approves verification plans; security/privacy reviewers approve relevant risk coverage.</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22, 34-35, 42-43, 50, 56.</w:t>
      </w:r>
    </w:p>
    <w:p>
      <w:pPr>
        <w:pStyle w:val="Heading1"/>
      </w:pPr>
      <w:r>
        <w:t>20. Traceability to Book II</w:t>
      </w:r>
    </w:p>
    <w:p>
      <w:r>
        <w:t>Book II 16, 17, 27, 28,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7 - Delivery, Change, and Release Governance</w:t>
      </w:r>
    </w:p>
    <w:p>
      <w:pPr>
        <w:pStyle w:val="Heading1"/>
      </w:pPr>
      <w:r>
        <w:t>1. Document control</w:t>
      </w:r>
    </w:p>
    <w:p>
      <w:r>
        <w:t>Status: Final. Control families: BLD-001 BLD-002 BLD-003 RELSE-001 RELSE-002 RELSE-003. Version: 1.0. Source authority: Book I then Book II.</w:t>
      </w:r>
    </w:p>
    <w:p>
      <w:pPr>
        <w:pStyle w:val="Heading1"/>
      </w:pPr>
      <w:r>
        <w:t>2. Purpose</w:t>
      </w:r>
    </w:p>
    <w:p>
      <w:r>
        <w:t>This chapter defines enforceable common engineering standards for ci/cd, reproducible builds, signing, qualification, risk, migrations, flags, canary, rollback, emergency changes, capability/treaty control.</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35, 39, 43, 50, 58. Book II 17, 21, 29, 34,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Every release MUST be reproducibly built from an identified source revision, signed or attested, risk-classified, and qualified with evidence appropriate to its affected authority, trust, state, and Reality Boundary. Migrations MUST have forward, rollback, or compensation behavior documented before execution.</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Unsigned artifacts, mutable release inputs, irreversible migration without an approved commit barrier and recovery plan, or emergency change without after-action review are prohibited.</w:t>
      </w:r>
    </w:p>
    <w:p>
      <w:pPr>
        <w:pStyle w:val="Heading1"/>
      </w:pPr>
      <w:r>
        <w:t>9. Required evidence</w:t>
      </w:r>
    </w:p>
    <w:p>
      <w:r>
        <w:t>Build record, SBOM, signature, release checklist, canary metrics, rollback/forward-recovery evidence.</w:t>
      </w:r>
    </w:p>
    <w:p>
      <w:pPr>
        <w:pStyle w:val="Heading1"/>
      </w:pPr>
      <w:r>
        <w:t>10. Automated enforcement</w:t>
      </w:r>
    </w:p>
    <w:p>
      <w:r>
        <w:t>Build attestations, artifact signature verification, migration rehearsal, deployment policy, post-release validation.</w:t>
      </w:r>
    </w:p>
    <w:p>
      <w:pPr>
        <w:pStyle w:val="Heading1"/>
      </w:pPr>
      <w:r>
        <w:t>11. Human review requirements</w:t>
      </w:r>
    </w:p>
    <w:p>
      <w:r>
        <w:t>Release Authority certifies release; Architecture/Security/Privacy review based on risk classification.</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35, 39, 43, 50, 58.</w:t>
      </w:r>
    </w:p>
    <w:p>
      <w:pPr>
        <w:pStyle w:val="Heading1"/>
      </w:pPr>
      <w:r>
        <w:t>20. Traceability to Book II</w:t>
      </w:r>
    </w:p>
    <w:p>
      <w:r>
        <w:t>Book II 17, 21, 29, 34,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8 - Review, Assurance, and Technical Debt</w:t>
      </w:r>
    </w:p>
    <w:p>
      <w:pPr>
        <w:pStyle w:val="Heading1"/>
      </w:pPr>
      <w:r>
        <w:t>1. Document control</w:t>
      </w:r>
    </w:p>
    <w:p>
      <w:r>
        <w:t>Status: Final. Control families: VER-004 VER-005 VER-006 GOV-006. Version: 1.0. Source authority: Book I then Book II.</w:t>
      </w:r>
    </w:p>
    <w:p>
      <w:pPr>
        <w:pStyle w:val="Heading1"/>
      </w:pPr>
      <w:r>
        <w:t>2. Purpose</w:t>
      </w:r>
    </w:p>
    <w:p>
      <w:r>
        <w:t>This chapter defines enforceable common engineering standards for peer, architecture, security, privacy, reliability, traceability, dor/dod, certification, post-release, debt, retrospectives.</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VI, VII, X, XI; Decisions 28, 40, 50, 57. Book II 25, 29,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A review MUST test the change against claimed requirements and evidence, not merely style. Definition of Ready MUST establish authority, risk, interfaces, verification, and rollback assumptions. Definition of Done MUST include completed evidence, resolved findings, and release/post-release obligations.</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Approval by an author alone, unresolved high-severity finding, or a debt item that conceals an authority or safety defect is prohibited.</w:t>
      </w:r>
    </w:p>
    <w:p>
      <w:pPr>
        <w:pStyle w:val="Heading1"/>
      </w:pPr>
      <w:r>
        <w:t>9. Required evidence</w:t>
      </w:r>
    </w:p>
    <w:p>
      <w:r>
        <w:t>PR review, review checklist, finding disposition, certification report, retrospective, debt register.</w:t>
      </w:r>
    </w:p>
    <w:p>
      <w:pPr>
        <w:pStyle w:val="Heading1"/>
      </w:pPr>
      <w:r>
        <w:t>10. Automated enforcement</w:t>
      </w:r>
    </w:p>
    <w:p>
      <w:r>
        <w:t>Review workflow checks, finding-age reports, certification and post-release evidence gates.</w:t>
      </w:r>
    </w:p>
    <w:p>
      <w:pPr>
        <w:pStyle w:val="Heading1"/>
      </w:pPr>
      <w:r>
        <w:t>11. Human review requirements</w:t>
      </w:r>
    </w:p>
    <w:p>
      <w:r>
        <w:t>Independent reviewer for consequential changes; certification reviewers verify source traceability.</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VI, VII, X, XI; Decisions 28, 40, 50, 57.</w:t>
      </w:r>
    </w:p>
    <w:p>
      <w:pPr>
        <w:pStyle w:val="Heading1"/>
      </w:pPr>
      <w:r>
        <w:t>20. Traceability to Book II</w:t>
      </w:r>
    </w:p>
    <w:p>
      <w:r>
        <w:t>Book II 25, 29,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9 - Control Operations, Exceptions, and Certification</w:t>
      </w:r>
    </w:p>
    <w:p>
      <w:pPr>
        <w:pStyle w:val="Heading1"/>
      </w:pPr>
      <w:r>
        <w:t>1. Document control</w:t>
      </w:r>
    </w:p>
    <w:p>
      <w:r>
        <w:t>Status: Final. Control families: GOV-007 GOV-008 DOC-002 OPS-001. Version: 1.0. Source authority: Book I then Book II.</w:t>
      </w:r>
    </w:p>
    <w:p>
      <w:pPr>
        <w:pStyle w:val="Heading1"/>
      </w:pPr>
      <w:r>
        <w:t>2. Purpose</w:t>
      </w:r>
    </w:p>
    <w:p>
      <w:r>
        <w:t>This chapter defines enforceable common engineering standards for control catalog, checklists, templates, retention, tooling, automation, reporting, exception forms, engineering certification.</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25, 40, 50, 58. Book II 25, 29, 30,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Each consequential control MUST have a stable ID, owner, applicability, enforcement, evidence, severity, source mapping, and automation status. Exceptions MUST be time-bounded and include justification, scope, risk, compensating controls, approver, effective/expiry/review dates, evidence, and revocation conditions.</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Permanent silent exceptions, constitutional waivers, and expired exceptions that continue to permit live-effect behavior are prohibited.</w:t>
      </w:r>
    </w:p>
    <w:p>
      <w:pPr>
        <w:pStyle w:val="Heading1"/>
      </w:pPr>
      <w:r>
        <w:t>9. Required evidence</w:t>
      </w:r>
    </w:p>
    <w:p>
      <w:r>
        <w:t>Catalog record, exception record, control report, certification report, retention index.</w:t>
      </w:r>
    </w:p>
    <w:p>
      <w:pPr>
        <w:pStyle w:val="Heading1"/>
      </w:pPr>
      <w:r>
        <w:t>10. Automated enforcement</w:t>
      </w:r>
    </w:p>
    <w:p>
      <w:r>
        <w:t>Control-as-code where practical; exception-expiry detection; periodic certification sampling.</w:t>
      </w:r>
    </w:p>
    <w:p>
      <w:pPr>
        <w:pStyle w:val="Heading1"/>
      </w:pPr>
      <w:r>
        <w:t>11. Human review requirements</w:t>
      </w:r>
    </w:p>
    <w:p>
      <w:r>
        <w:t>Control owner maintains controls; exception authority is limited by the catalog and never exceeds Book I.</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independent review, and risk-scaled test/release evidence.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25, 40, 50, 58.</w:t>
      </w:r>
    </w:p>
    <w:p>
      <w:pPr>
        <w:pStyle w:val="Heading1"/>
      </w:pPr>
      <w:r>
        <w:t>20. Traceability to Book II</w:t>
      </w:r>
    </w:p>
    <w:p>
      <w:r>
        <w:t>Book II 25, 29, 30,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Appendix A - Glossary</w:t>
      </w:r>
    </w:p>
    <w:p>
      <w:pPr>
        <w:pStyle w:val="Title"/>
      </w:pPr>
      <w:r>
        <w:t>Appendix B - Exception model</w:t>
      </w:r>
    </w:p>
    <w:p>
      <w:r>
        <w:t>Exceptions are time-bounded, scoped, evidenced, revocable, and reviewable. They MUST fail closed or explicitly escalate at expiry.</w:t>
      </w:r>
    </w:p>
    <w:p>
      <w:pPr>
        <w:pStyle w:val="Title"/>
      </w:pPr>
      <w:r>
        <w:t>Appendix C - Certification statement</w:t>
      </w:r>
    </w:p>
    <w:p>
      <w:r>
        <w:t>This draft establishes the engineering-law baseline. Certification requires all control mappings, review records, deliverables, and validated renderings to be complete.</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v1.0 | Controlled engineering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HAL Book III - Engineering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