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4BC9F" w14:textId="298E75C3" w:rsidR="00152AB9" w:rsidRPr="00152AB9" w:rsidRDefault="00152AB9">
      <w:pPr>
        <w:rPr>
          <w:b/>
          <w:bCs/>
          <w:sz w:val="36"/>
          <w:szCs w:val="36"/>
        </w:rPr>
      </w:pPr>
      <w:r w:rsidRPr="00152AB9">
        <w:rPr>
          <w:b/>
          <w:bCs/>
          <w:sz w:val="36"/>
          <w:szCs w:val="36"/>
        </w:rPr>
        <w:t>Bitcoin Mining</w:t>
      </w:r>
      <w:r w:rsidR="00145077">
        <w:rPr>
          <w:b/>
          <w:bCs/>
          <w:sz w:val="36"/>
          <w:szCs w:val="36"/>
        </w:rPr>
        <w:t xml:space="preserve"> Profitability Analysis: </w:t>
      </w:r>
      <w:r w:rsidR="00520E7A">
        <w:rPr>
          <w:b/>
          <w:bCs/>
          <w:sz w:val="36"/>
          <w:szCs w:val="36"/>
        </w:rPr>
        <w:t xml:space="preserve">How will </w:t>
      </w:r>
      <w:r w:rsidR="00145077">
        <w:rPr>
          <w:b/>
          <w:bCs/>
          <w:sz w:val="36"/>
          <w:szCs w:val="36"/>
        </w:rPr>
        <w:t>investment</w:t>
      </w:r>
      <w:r w:rsidR="00520E7A">
        <w:rPr>
          <w:b/>
          <w:bCs/>
          <w:sz w:val="36"/>
          <w:szCs w:val="36"/>
        </w:rPr>
        <w:t xml:space="preserve"> in S21 XP</w:t>
      </w:r>
      <w:r w:rsidR="00145077">
        <w:rPr>
          <w:b/>
          <w:bCs/>
          <w:sz w:val="36"/>
          <w:szCs w:val="36"/>
        </w:rPr>
        <w:t xml:space="preserve">s perform </w:t>
      </w:r>
      <w:r w:rsidR="00D03DBF">
        <w:rPr>
          <w:b/>
          <w:bCs/>
          <w:sz w:val="36"/>
          <w:szCs w:val="36"/>
        </w:rPr>
        <w:t>the remainder of the cycle</w:t>
      </w:r>
      <w:r w:rsidR="00145077">
        <w:rPr>
          <w:b/>
          <w:bCs/>
          <w:sz w:val="36"/>
          <w:szCs w:val="36"/>
        </w:rPr>
        <w:t>?</w:t>
      </w:r>
    </w:p>
    <w:p w14:paraId="6A8924A4" w14:textId="23892A2E" w:rsidR="00CE2900" w:rsidRDefault="003B48B9">
      <w:r>
        <w:t xml:space="preserve">Many people (rightly so) often </w:t>
      </w:r>
      <w:r w:rsidR="00DB72A2">
        <w:t>criticize the bitcoin mining business and its unreliable</w:t>
      </w:r>
      <w:r w:rsidR="002E2125">
        <w:t xml:space="preserve"> </w:t>
      </w:r>
      <w:r w:rsidR="00DB72A2">
        <w:t>cashflow structure that is embedded</w:t>
      </w:r>
      <w:r w:rsidR="00421544">
        <w:t xml:space="preserve"> in economics</w:t>
      </w:r>
      <w:r w:rsidR="00E9178F">
        <w:t xml:space="preserve"> </w:t>
      </w:r>
      <w:r w:rsidR="00CE2900">
        <w:t>(bitcoin revenue halving every 4 years)</w:t>
      </w:r>
      <w:r w:rsidR="00421544">
        <w:t xml:space="preserve">. </w:t>
      </w:r>
      <w:r w:rsidR="00CE2900">
        <w:t>So,</w:t>
      </w:r>
      <w:r w:rsidR="00E9178F">
        <w:t xml:space="preserve"> what </w:t>
      </w:r>
      <w:r w:rsidR="002E2125">
        <w:t xml:space="preserve">kind of return a </w:t>
      </w:r>
      <w:r w:rsidR="00D921D3">
        <w:t xml:space="preserve">company can </w:t>
      </w:r>
      <w:r w:rsidR="006A0078">
        <w:t>expect when</w:t>
      </w:r>
      <w:r w:rsidR="00D921D3">
        <w:t xml:space="preserve"> investing </w:t>
      </w:r>
      <w:r w:rsidR="006A0078">
        <w:t xml:space="preserve">today </w:t>
      </w:r>
      <w:r w:rsidR="00304244">
        <w:t>in a leading</w:t>
      </w:r>
      <w:r w:rsidR="00D17DE4">
        <w:t xml:space="preserve"> mining rig</w:t>
      </w:r>
      <w:r w:rsidR="00304244">
        <w:t xml:space="preserve"> – </w:t>
      </w:r>
      <w:r w:rsidR="001B2AC2">
        <w:t xml:space="preserve">a </w:t>
      </w:r>
      <w:r w:rsidR="00CE2900">
        <w:t xml:space="preserve">Bitmain </w:t>
      </w:r>
      <w:r w:rsidR="00304244">
        <w:t>S21 XP</w:t>
      </w:r>
      <w:r w:rsidR="000B77E9">
        <w:t>?</w:t>
      </w:r>
    </w:p>
    <w:p w14:paraId="242E4761" w14:textId="77777777" w:rsidR="000B77E9" w:rsidRDefault="000B77E9"/>
    <w:p w14:paraId="54FB8DB8" w14:textId="2E224CE7" w:rsidR="006A0078" w:rsidRDefault="000D418C">
      <w:r>
        <w:t>Here’s t</w:t>
      </w:r>
      <w:r w:rsidR="000B77E9">
        <w:t xml:space="preserve">he </w:t>
      </w:r>
      <w:r w:rsidR="006A0078">
        <w:t xml:space="preserve">fun part – trying to predict mining </w:t>
      </w:r>
      <w:r w:rsidR="00C27025">
        <w:t xml:space="preserve">where Bitcoin price, block rewards and network hashrate will </w:t>
      </w:r>
      <w:r w:rsidR="00E247A7">
        <w:t>go over the next few years</w:t>
      </w:r>
      <w:r w:rsidR="008701B5">
        <w:t>.</w:t>
      </w:r>
      <w:r w:rsidR="00E247A7">
        <w:t xml:space="preserve"> Each of these factors having a significant effect on bitcoin price.</w:t>
      </w:r>
      <w:r w:rsidR="008701B5">
        <w:t xml:space="preserve"> I am cutting this analysis at the next hal</w:t>
      </w:r>
      <w:r w:rsidR="00402818">
        <w:t>ving date (by end of April 2028)</w:t>
      </w:r>
      <w:r w:rsidR="007C203F">
        <w:t xml:space="preserve"> when thes</w:t>
      </w:r>
      <w:r w:rsidR="003F08FE">
        <w:t xml:space="preserve">e rigs will probably </w:t>
      </w:r>
      <w:r w:rsidR="008075DA">
        <w:t xml:space="preserve">be </w:t>
      </w:r>
      <w:r w:rsidR="003F08FE">
        <w:t xml:space="preserve">close to </w:t>
      </w:r>
      <w:r w:rsidR="00881640">
        <w:t>worthless</w:t>
      </w:r>
      <w:r w:rsidR="00402818">
        <w:t>.</w:t>
      </w:r>
      <w:r w:rsidR="003F08FE">
        <w:t xml:space="preserve"> </w:t>
      </w:r>
      <w:r w:rsidR="00355B6D">
        <w:t xml:space="preserve">For </w:t>
      </w:r>
      <w:r w:rsidR="002707DB">
        <w:t xml:space="preserve">this model I will be running it 100 times </w:t>
      </w:r>
      <w:r w:rsidR="001F1434">
        <w:t xml:space="preserve">simulating possible Bitcoin and network hashrate </w:t>
      </w:r>
      <w:r w:rsidR="005C76D0">
        <w:t xml:space="preserve">changes </w:t>
      </w:r>
      <w:r w:rsidR="002707DB">
        <w:t xml:space="preserve">to get a generalized result of </w:t>
      </w:r>
      <w:r w:rsidR="00425D6E">
        <w:t>gross mining profits (</w:t>
      </w:r>
      <w:r w:rsidR="008E33CD">
        <w:t xml:space="preserve">GP = </w:t>
      </w:r>
      <w:r w:rsidR="00425D6E">
        <w:t xml:space="preserve">Revenue – electricity cost </w:t>
      </w:r>
      <w:r w:rsidR="008E33CD">
        <w:t>– cost of rig) for 1 S21 XP and then roll it up to the Exahash level to see how it can scale.</w:t>
      </w:r>
      <w:r w:rsidR="00A611F9">
        <w:t xml:space="preserve"> We are assuming </w:t>
      </w:r>
      <w:r w:rsidR="008C039C">
        <w:t>a $21 per terahash which amounts to $</w:t>
      </w:r>
      <w:r w:rsidR="008C039C" w:rsidRPr="008C039C">
        <w:t>5,684</w:t>
      </w:r>
      <w:r w:rsidR="008C039C">
        <w:t xml:space="preserve"> per rig a</w:t>
      </w:r>
      <w:r w:rsidR="005467CF">
        <w:t>nd $21 million per exahash</w:t>
      </w:r>
      <w:r w:rsidR="0053515C">
        <w:t xml:space="preserve"> for the rigs</w:t>
      </w:r>
      <w:r w:rsidR="005467CF">
        <w:t>.</w:t>
      </w:r>
    </w:p>
    <w:p w14:paraId="5A7682A0" w14:textId="77777777" w:rsidR="00881640" w:rsidRDefault="00881640"/>
    <w:p w14:paraId="4A1B3E80" w14:textId="24B4F895" w:rsidR="00CE2900" w:rsidRDefault="00881640" w:rsidP="00CE2900">
      <w:pPr>
        <w:rPr>
          <w:b/>
          <w:bCs/>
        </w:rPr>
      </w:pPr>
      <w:r w:rsidRPr="00BD0E5A">
        <w:rPr>
          <w:b/>
          <w:bCs/>
        </w:rPr>
        <w:t>Assumptions:</w:t>
      </w:r>
    </w:p>
    <w:p w14:paraId="2259F304" w14:textId="482CFBD7" w:rsidR="00BD0E5A" w:rsidRPr="00145077" w:rsidRDefault="00CE2900" w:rsidP="00CE2900">
      <w:pPr>
        <w:rPr>
          <w:b/>
          <w:bCs/>
        </w:rPr>
      </w:pPr>
      <w:r w:rsidRPr="00EC1AF1">
        <w:rPr>
          <w:noProof/>
        </w:rPr>
        <w:drawing>
          <wp:anchor distT="0" distB="0" distL="114300" distR="114300" simplePos="0" relativeHeight="251658240" behindDoc="1" locked="0" layoutInCell="1" allowOverlap="1" wp14:anchorId="35657070" wp14:editId="743A593F">
            <wp:simplePos x="0" y="0"/>
            <wp:positionH relativeFrom="margin">
              <wp:posOffset>175260</wp:posOffset>
            </wp:positionH>
            <wp:positionV relativeFrom="paragraph">
              <wp:posOffset>956945</wp:posOffset>
            </wp:positionV>
            <wp:extent cx="5570220" cy="2772410"/>
            <wp:effectExtent l="0" t="0" r="0" b="8890"/>
            <wp:wrapTight wrapText="bothSides">
              <wp:wrapPolygon edited="0">
                <wp:start x="0" y="0"/>
                <wp:lineTo x="0" y="21521"/>
                <wp:lineTo x="21497" y="21521"/>
                <wp:lineTo x="21497" y="0"/>
                <wp:lineTo x="0" y="0"/>
              </wp:wrapPolygon>
            </wp:wrapTight>
            <wp:docPr id="1808389822" name="Picture 1" descr="A graph of a mining effici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9822" name="Picture 1" descr="A graph of a mining efficienc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640" w:rsidRPr="00145077">
        <w:rPr>
          <w:b/>
          <w:bCs/>
        </w:rPr>
        <w:t>Mining rigs continue</w:t>
      </w:r>
      <w:r w:rsidR="00BD0E5A" w:rsidRPr="00145077">
        <w:rPr>
          <w:b/>
          <w:bCs/>
        </w:rPr>
        <w:t xml:space="preserve"> to get more efficient: </w:t>
      </w:r>
      <w:r w:rsidR="00BD0E5A">
        <w:t>This should be pretty c</w:t>
      </w:r>
      <w:r w:rsidR="004302DF">
        <w:t>onsensus. The data I used for the chart is found</w:t>
      </w:r>
      <w:r w:rsidR="008B4325">
        <w:t xml:space="preserve"> here -</w:t>
      </w:r>
      <w:r w:rsidR="008B4325" w:rsidRPr="008B4325">
        <w:t xml:space="preserve"> </w:t>
      </w:r>
      <w:hyperlink r:id="rId6" w:history="1">
        <w:r w:rsidR="008B4325" w:rsidRPr="008B4325">
          <w:rPr>
            <w:rStyle w:val="Hyperlink"/>
          </w:rPr>
          <w:t>https://www.jbs.cam.ac.uk/2023/bitcoin-electricity-consumption/</w:t>
        </w:r>
      </w:hyperlink>
      <w:r w:rsidR="008250A5">
        <w:t xml:space="preserve">. Although I did hear Patrick Fleury on a recent podcast suggesting efficiency will settle </w:t>
      </w:r>
      <w:r w:rsidR="00245277">
        <w:t>in the high single digits J/TH</w:t>
      </w:r>
      <w:r w:rsidR="00BB2CA6">
        <w:t xml:space="preserve"> – To be seen.</w:t>
      </w:r>
    </w:p>
    <w:p w14:paraId="7A4C2DD4" w14:textId="0299AA78" w:rsidR="00487520" w:rsidRDefault="009B7007" w:rsidP="00487520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Transaction fees stay consistent: </w:t>
      </w:r>
      <w:r w:rsidR="006759CF">
        <w:t>We will assume</w:t>
      </w:r>
      <w:r w:rsidR="00A6535D">
        <w:t xml:space="preserve"> total block rewards of 3.</w:t>
      </w:r>
      <w:r w:rsidR="006759CF">
        <w:t>3</w:t>
      </w:r>
      <w:r w:rsidR="00A6535D">
        <w:t xml:space="preserve">. I </w:t>
      </w:r>
      <w:r w:rsidR="00780CDC">
        <w:t xml:space="preserve">don’t see how you can model this, but they can </w:t>
      </w:r>
      <w:r w:rsidR="007A1B14">
        <w:t>only</w:t>
      </w:r>
      <w:r w:rsidR="00780CDC">
        <w:t xml:space="preserve"> go up</w:t>
      </w:r>
      <w:r w:rsidR="007A1B14">
        <w:t>. S</w:t>
      </w:r>
      <w:r w:rsidR="00780CDC">
        <w:t>o</w:t>
      </w:r>
      <w:r w:rsidR="006759CF">
        <w:t>,</w:t>
      </w:r>
      <w:r w:rsidR="00780CDC">
        <w:t xml:space="preserve"> </w:t>
      </w:r>
      <w:r w:rsidR="007A1B14">
        <w:t xml:space="preserve">this is </w:t>
      </w:r>
      <w:r w:rsidR="006759CF">
        <w:t>a potential</w:t>
      </w:r>
      <w:r w:rsidR="00780CDC">
        <w:t xml:space="preserve"> upside.</w:t>
      </w:r>
    </w:p>
    <w:p w14:paraId="792C0998" w14:textId="53EEE566" w:rsidR="000C45DC" w:rsidRDefault="000C45DC" w:rsidP="000C45DC">
      <w:pPr>
        <w:pStyle w:val="ListParagraph"/>
        <w:numPr>
          <w:ilvl w:val="0"/>
          <w:numId w:val="1"/>
        </w:numPr>
      </w:pPr>
      <w:r>
        <w:rPr>
          <w:b/>
          <w:bCs/>
        </w:rPr>
        <w:t>Operations:</w:t>
      </w:r>
      <w:r>
        <w:t xml:space="preserve"> I am going to assume we maintain 100% uptime </w:t>
      </w:r>
      <w:r w:rsidR="006F678C">
        <w:t>over the period</w:t>
      </w:r>
      <w:r w:rsidR="00007EBB">
        <w:t xml:space="preserve">, but the operator will </w:t>
      </w:r>
      <w:r w:rsidR="003E033C">
        <w:t xml:space="preserve">also </w:t>
      </w:r>
      <w:r w:rsidR="00007EBB">
        <w:t>mine at a negative gross margin if economics proceed that way</w:t>
      </w:r>
      <w:r w:rsidR="003E033C">
        <w:t xml:space="preserve"> (should only happen in the bear case). </w:t>
      </w:r>
    </w:p>
    <w:p w14:paraId="632A8339" w14:textId="77777777" w:rsidR="008B70C9" w:rsidRDefault="008B70C9">
      <w:pPr>
        <w:rPr>
          <w:b/>
          <w:bCs/>
        </w:rPr>
      </w:pPr>
    </w:p>
    <w:p w14:paraId="3510166B" w14:textId="77777777" w:rsidR="00DB78D7" w:rsidRDefault="008B70C9">
      <w:pPr>
        <w:rPr>
          <w:b/>
          <w:bCs/>
        </w:rPr>
      </w:pPr>
      <w:r>
        <w:rPr>
          <w:b/>
          <w:bCs/>
        </w:rPr>
        <w:t xml:space="preserve">Modeling/Projections: </w:t>
      </w:r>
    </w:p>
    <w:p w14:paraId="111C7986" w14:textId="3D0F25BE" w:rsidR="002F0FFA" w:rsidRDefault="00DB78D7">
      <w:r>
        <w:rPr>
          <w:b/>
          <w:bCs/>
        </w:rPr>
        <w:t xml:space="preserve">BTC Price: </w:t>
      </w:r>
      <w:r w:rsidR="00B30532">
        <w:t xml:space="preserve">To </w:t>
      </w:r>
      <w:r w:rsidR="00994AAE">
        <w:t>showcase</w:t>
      </w:r>
      <w:r w:rsidR="00B30532">
        <w:t xml:space="preserve"> different scenarios I </w:t>
      </w:r>
      <w:r w:rsidR="00994AAE">
        <w:t>attempted to model</w:t>
      </w:r>
      <w:r w:rsidR="00B30532">
        <w:t xml:space="preserve"> for a bear, base and bull case for the price of Bitcoin over the next </w:t>
      </w:r>
      <w:r w:rsidR="00994AAE">
        <w:t>3.5 years. Th</w:t>
      </w:r>
      <w:r w:rsidR="009E3420">
        <w:t>e logic follows:</w:t>
      </w:r>
    </w:p>
    <w:p w14:paraId="1B9B903F" w14:textId="72656831" w:rsidR="009E3420" w:rsidRDefault="0090318F" w:rsidP="0090318F">
      <w:pPr>
        <w:pStyle w:val="ListParagraph"/>
        <w:numPr>
          <w:ilvl w:val="0"/>
          <w:numId w:val="2"/>
        </w:numPr>
      </w:pPr>
      <w:r>
        <w:t>Bear:</w:t>
      </w:r>
      <w:r>
        <w:tab/>
        <w:t xml:space="preserve">BTC </w:t>
      </w:r>
      <w:r w:rsidR="007A00E8">
        <w:t xml:space="preserve">is basically rangebound </w:t>
      </w:r>
      <w:r w:rsidR="007E79B9">
        <w:t>from</w:t>
      </w:r>
      <w:r w:rsidR="007A00E8">
        <w:t xml:space="preserve"> $</w:t>
      </w:r>
      <w:r w:rsidR="00AB64CE">
        <w:t>60K</w:t>
      </w:r>
      <w:r w:rsidR="007A00E8">
        <w:t xml:space="preserve"> and $70</w:t>
      </w:r>
      <w:r w:rsidR="00AB64CE">
        <w:t>K</w:t>
      </w:r>
      <w:r w:rsidR="007A00E8">
        <w:t xml:space="preserve"> for the next 3.5 years</w:t>
      </w:r>
      <w:r w:rsidR="007E79B9">
        <w:t>.</w:t>
      </w:r>
    </w:p>
    <w:p w14:paraId="07FC8896" w14:textId="3E8D1DCA" w:rsidR="007E79B9" w:rsidRDefault="007E79B9" w:rsidP="0090318F">
      <w:pPr>
        <w:pStyle w:val="ListParagraph"/>
        <w:numPr>
          <w:ilvl w:val="0"/>
          <w:numId w:val="2"/>
        </w:numPr>
      </w:pPr>
      <w:r>
        <w:t xml:space="preserve">Base:   BTC hits </w:t>
      </w:r>
      <w:r w:rsidR="00652FFA">
        <w:t>$150</w:t>
      </w:r>
      <w:r w:rsidR="00AB64CE">
        <w:t>K</w:t>
      </w:r>
      <w:r w:rsidR="00652FFA">
        <w:t xml:space="preserve"> early 2026 and trades down to somewhere between $</w:t>
      </w:r>
      <w:r w:rsidR="00D062E3">
        <w:t>75</w:t>
      </w:r>
      <w:r w:rsidR="00AB64CE">
        <w:t>K to $12</w:t>
      </w:r>
      <w:r w:rsidR="00D062E3">
        <w:t>5</w:t>
      </w:r>
      <w:r w:rsidR="00AB64CE">
        <w:t>K</w:t>
      </w:r>
      <w:r w:rsidR="00D062E3">
        <w:t xml:space="preserve"> by the end of the period.</w:t>
      </w:r>
    </w:p>
    <w:p w14:paraId="4CA2DA7E" w14:textId="06E493FB" w:rsidR="00D062E3" w:rsidRDefault="00D062E3" w:rsidP="0090318F">
      <w:pPr>
        <w:pStyle w:val="ListParagraph"/>
        <w:numPr>
          <w:ilvl w:val="0"/>
          <w:numId w:val="2"/>
        </w:numPr>
      </w:pPr>
      <w:r>
        <w:t>Bull: BTC hits $250K early 2026 and trades down to somewhere between $</w:t>
      </w:r>
      <w:r w:rsidR="00946D38">
        <w:t>125</w:t>
      </w:r>
      <w:r>
        <w:t>K to $</w:t>
      </w:r>
      <w:r w:rsidR="00946D38">
        <w:t>175</w:t>
      </w:r>
      <w:r>
        <w:t>K by the end of the period.</w:t>
      </w:r>
    </w:p>
    <w:p w14:paraId="6B88BB63" w14:textId="3D7AD30B" w:rsidR="00981FC0" w:rsidRDefault="005D7653" w:rsidP="00981FC0">
      <w:r>
        <w:t>Obviously,</w:t>
      </w:r>
      <w:r w:rsidR="009270AC">
        <w:t xml:space="preserve"> I pulled these numbers out of my ass -</w:t>
      </w:r>
      <w:r w:rsidR="00981FC0">
        <w:t xml:space="preserve"> no one knows what can/will happen. I then threw in some Brownian motion and adjusted the vol </w:t>
      </w:r>
      <w:r w:rsidR="009270AC">
        <w:t>slightly</w:t>
      </w:r>
      <w:r w:rsidR="00FB5B93">
        <w:t xml:space="preserve"> </w:t>
      </w:r>
      <w:r w:rsidR="00981FC0">
        <w:t>based on historical time periods for each case and got something like this.</w:t>
      </w:r>
    </w:p>
    <w:p w14:paraId="4B29219E" w14:textId="13FB57C4" w:rsidR="00946D38" w:rsidRDefault="005D7653" w:rsidP="00946D38">
      <w:r w:rsidRPr="005D7653">
        <w:drawing>
          <wp:inline distT="0" distB="0" distL="0" distR="0" wp14:anchorId="2C62C5A8" wp14:editId="6BE98FA9">
            <wp:extent cx="5943600" cy="3103245"/>
            <wp:effectExtent l="0" t="0" r="0" b="1905"/>
            <wp:docPr id="580746452" name="Picture 1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6452" name="Picture 1" descr="A graph showing the growth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CAB5" w14:textId="76B32091" w:rsidR="00600036" w:rsidRDefault="00600036" w:rsidP="00946D38"/>
    <w:p w14:paraId="7F7D8A47" w14:textId="28584F91" w:rsidR="00445FDF" w:rsidRDefault="00396345" w:rsidP="00946D38">
      <w:r>
        <w:rPr>
          <w:b/>
          <w:bCs/>
        </w:rPr>
        <w:lastRenderedPageBreak/>
        <w:t xml:space="preserve">Global </w:t>
      </w:r>
      <w:r w:rsidR="000E1673">
        <w:rPr>
          <w:b/>
          <w:bCs/>
        </w:rPr>
        <w:t>Hash Rate</w:t>
      </w:r>
      <w:r>
        <w:rPr>
          <w:b/>
          <w:bCs/>
        </w:rPr>
        <w:t xml:space="preserve">: </w:t>
      </w:r>
      <w:r w:rsidR="009E734B">
        <w:t xml:space="preserve">As </w:t>
      </w:r>
      <w:r w:rsidR="00976DC5">
        <w:t>BTC</w:t>
      </w:r>
      <w:r w:rsidR="009E734B">
        <w:t xml:space="preserve"> appreciates it</w:t>
      </w:r>
      <w:r>
        <w:t xml:space="preserve"> </w:t>
      </w:r>
      <w:r w:rsidR="009E734B">
        <w:t>can</w:t>
      </w:r>
      <w:r>
        <w:t xml:space="preserve"> </w:t>
      </w:r>
      <w:r w:rsidR="00516948">
        <w:t>drive</w:t>
      </w:r>
      <w:r w:rsidR="009E734B">
        <w:t xml:space="preserve"> </w:t>
      </w:r>
      <w:r w:rsidR="00906C51">
        <w:t>the global</w:t>
      </w:r>
      <w:r w:rsidR="009E734B">
        <w:t xml:space="preserve"> </w:t>
      </w:r>
      <w:r w:rsidR="00E03A05">
        <w:t>Hash</w:t>
      </w:r>
      <w:r w:rsidR="009E734B">
        <w:t xml:space="preserve"> </w:t>
      </w:r>
      <w:r w:rsidR="00976DC5">
        <w:t>rate</w:t>
      </w:r>
      <w:r>
        <w:t xml:space="preserve"> </w:t>
      </w:r>
      <w:r w:rsidR="009E734B">
        <w:t xml:space="preserve">up </w:t>
      </w:r>
      <w:r>
        <w:t>to a certain point</w:t>
      </w:r>
      <w:r w:rsidR="009E734B">
        <w:t>, but it then gets to a point where machines</w:t>
      </w:r>
      <w:r w:rsidR="00976DC5">
        <w:t xml:space="preserve">/power cannot be supplied fast enough to account for the price appreciation. Especially considering </w:t>
      </w:r>
      <w:r w:rsidR="001C1D81">
        <w:t xml:space="preserve">expected power usage for AI, it seems like there will be </w:t>
      </w:r>
      <w:r w:rsidR="00AA74BD">
        <w:t>more</w:t>
      </w:r>
      <w:r w:rsidR="001C1D81">
        <w:t xml:space="preserve"> power/data center shortage </w:t>
      </w:r>
      <w:r w:rsidR="00516948">
        <w:t>going forward – this makes it hard to quantify</w:t>
      </w:r>
      <w:r w:rsidR="001C1D81">
        <w:t xml:space="preserve">. </w:t>
      </w:r>
      <w:r w:rsidR="00E03343">
        <w:t>However</w:t>
      </w:r>
      <w:r w:rsidR="00AA74BD">
        <w:t xml:space="preserve">, mining rigs will continue to get more efficient and naturally push up global </w:t>
      </w:r>
      <w:r w:rsidR="000E1673">
        <w:t>hash rate</w:t>
      </w:r>
      <w:r w:rsidR="0091703A">
        <w:t xml:space="preserve"> unless mining economics decrease drastically</w:t>
      </w:r>
      <w:r w:rsidR="00AA74BD">
        <w:t>.</w:t>
      </w:r>
      <w:r w:rsidR="00AE158B">
        <w:t xml:space="preserve"> </w:t>
      </w:r>
      <w:r w:rsidR="00906C51">
        <w:t xml:space="preserve">Based on </w:t>
      </w:r>
      <w:r w:rsidR="003837D2">
        <w:t xml:space="preserve">previously assumed progression in efficiency I am hypothesizing in a bear scenario </w:t>
      </w:r>
      <w:r w:rsidR="005F4538">
        <w:t xml:space="preserve">there is little investment made in new rigs and </w:t>
      </w:r>
      <w:r w:rsidR="00CE75A0">
        <w:t xml:space="preserve">network efficiency does not improve </w:t>
      </w:r>
      <w:r w:rsidR="0092780C">
        <w:t>at the same rate</w:t>
      </w:r>
      <w:r w:rsidR="00CE75A0">
        <w:t xml:space="preserve"> the technology</w:t>
      </w:r>
      <w:r w:rsidR="0092780C">
        <w:t xml:space="preserve"> does</w:t>
      </w:r>
      <w:r w:rsidR="00CE75A0">
        <w:t>.</w:t>
      </w:r>
      <w:r w:rsidR="00D169B7">
        <w:t xml:space="preserve"> Keeping with the logic,</w:t>
      </w:r>
      <w:r w:rsidR="00A35252">
        <w:t xml:space="preserve"> if Bitcoin price</w:t>
      </w:r>
      <w:r w:rsidR="00E05F43">
        <w:t xml:space="preserve"> appreciateds</w:t>
      </w:r>
      <w:r w:rsidR="00BC2F8F">
        <w:t xml:space="preserve"> rapidly</w:t>
      </w:r>
      <w:r w:rsidR="00A35252">
        <w:t xml:space="preserve">, network </w:t>
      </w:r>
      <w:r w:rsidR="00BC2F8F">
        <w:t xml:space="preserve">efficiency will keep up with </w:t>
      </w:r>
      <w:r w:rsidR="00E05F43">
        <w:t>or even outpace the rate at which individual rig efficiency is increasing.</w:t>
      </w:r>
    </w:p>
    <w:p w14:paraId="3D5CF612" w14:textId="77777777" w:rsidR="00A62087" w:rsidRPr="00A62087" w:rsidRDefault="00A62087" w:rsidP="00A62087">
      <w:r w:rsidRPr="00A62087">
        <w:t xml:space="preserve">For the </w:t>
      </w:r>
      <w:r w:rsidRPr="00A62087">
        <w:rPr>
          <w:b/>
          <w:bCs/>
        </w:rPr>
        <w:t>Bull case</w:t>
      </w:r>
      <w:r w:rsidRPr="00A62087">
        <w:t xml:space="preserve">, I extrapolated the current trend to project higher growth. For the </w:t>
      </w:r>
      <w:r w:rsidRPr="00A62087">
        <w:rPr>
          <w:b/>
          <w:bCs/>
        </w:rPr>
        <w:t>Base case</w:t>
      </w:r>
      <w:r w:rsidRPr="00A62087">
        <w:t xml:space="preserve">, I tempered the growth by reducing it by 20%, while for the </w:t>
      </w:r>
      <w:r w:rsidRPr="00A62087">
        <w:rPr>
          <w:b/>
          <w:bCs/>
        </w:rPr>
        <w:t>Bear case</w:t>
      </w:r>
      <w:r w:rsidRPr="00A62087">
        <w:t>, I reduced it by 50%. My rationale is as follows:</w:t>
      </w:r>
    </w:p>
    <w:p w14:paraId="3258ECB4" w14:textId="77777777" w:rsidR="00A62087" w:rsidRPr="00A62087" w:rsidRDefault="00A62087" w:rsidP="00A62087">
      <w:r w:rsidRPr="00A62087">
        <w:t>Take miner efficiency as an example: if rigs become ~50% more efficient over the projection period, this would effectively double the hashrate for the same power input. Based on my assumption of a ~60% improvement in miner efficiency, this results in more than doubling the hashrate, which aligns with my Base case (e.g., 1878/750 ≈ 2.5). This same logic underpins the projections for the Bull and Bear cases, with adjustments reflecting higher and lower efficiency outcomes, respectively.</w:t>
      </w:r>
    </w:p>
    <w:p w14:paraId="187D78E7" w14:textId="77777777" w:rsidR="00A62087" w:rsidRPr="00A62087" w:rsidRDefault="00A62087" w:rsidP="00A62087">
      <w:r w:rsidRPr="00A62087">
        <w:t>Additionally, each iteration of the model incorporates a hash rate volatility factor, which adjusts the final target within a range of ±15% to account for variability.</w:t>
      </w:r>
    </w:p>
    <w:p w14:paraId="0ABCE63D" w14:textId="65E1486D" w:rsidR="00E05F43" w:rsidRDefault="00E05F43" w:rsidP="00946D38"/>
    <w:p w14:paraId="307E5479" w14:textId="0FE9CCE3" w:rsidR="00E05F43" w:rsidRDefault="00A62087" w:rsidP="00946D38">
      <w:r w:rsidRPr="007518CA">
        <w:rPr>
          <w:b/>
          <w:bCs/>
        </w:rPr>
        <w:drawing>
          <wp:anchor distT="0" distB="0" distL="114300" distR="114300" simplePos="0" relativeHeight="251660288" behindDoc="1" locked="0" layoutInCell="1" allowOverlap="1" wp14:anchorId="6001D664" wp14:editId="7DAF098F">
            <wp:simplePos x="0" y="0"/>
            <wp:positionH relativeFrom="margin">
              <wp:posOffset>-137160</wp:posOffset>
            </wp:positionH>
            <wp:positionV relativeFrom="paragraph">
              <wp:posOffset>-57150</wp:posOffset>
            </wp:positionV>
            <wp:extent cx="5730240" cy="2815590"/>
            <wp:effectExtent l="0" t="0" r="3810" b="3810"/>
            <wp:wrapTight wrapText="bothSides">
              <wp:wrapPolygon edited="0">
                <wp:start x="0" y="0"/>
                <wp:lineTo x="0" y="21483"/>
                <wp:lineTo x="21543" y="21483"/>
                <wp:lineTo x="21543" y="0"/>
                <wp:lineTo x="0" y="0"/>
              </wp:wrapPolygon>
            </wp:wrapTight>
            <wp:docPr id="8163841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8414" name="Picture 1" descr="A graph with line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6AFB1" w14:textId="3E37CB44" w:rsidR="002751D0" w:rsidRDefault="00AC607D" w:rsidP="00946D38">
      <w:r>
        <w:rPr>
          <w:b/>
          <w:bCs/>
        </w:rPr>
        <w:lastRenderedPageBreak/>
        <w:t xml:space="preserve">Hash Price: </w:t>
      </w:r>
      <w:r w:rsidR="006E7221">
        <w:t>Based on previously stated inputs, we can</w:t>
      </w:r>
      <w:r w:rsidR="001A4C69">
        <w:t xml:space="preserve"> see the hash price </w:t>
      </w:r>
      <w:r w:rsidR="00C37731">
        <w:t>each case</w:t>
      </w:r>
      <w:r w:rsidR="00961EB4">
        <w:t xml:space="preserve">. As you can see only in </w:t>
      </w:r>
      <w:r w:rsidR="00187050">
        <w:t>bull cases</w:t>
      </w:r>
      <w:r w:rsidR="00961EB4">
        <w:t xml:space="preserve"> do mining economics really improve.</w:t>
      </w:r>
    </w:p>
    <w:p w14:paraId="62B97565" w14:textId="7D7DBE99" w:rsidR="00C8782C" w:rsidRDefault="00A62087" w:rsidP="00946D38">
      <w:pPr>
        <w:rPr>
          <w:b/>
          <w:bCs/>
        </w:rPr>
      </w:pPr>
      <w:r w:rsidRPr="002751D0">
        <w:drawing>
          <wp:anchor distT="0" distB="0" distL="114300" distR="114300" simplePos="0" relativeHeight="251659264" behindDoc="1" locked="0" layoutInCell="1" allowOverlap="1" wp14:anchorId="3C4916BD" wp14:editId="5C05FE0C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67690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528" y="21441"/>
                <wp:lineTo x="21528" y="0"/>
                <wp:lineTo x="0" y="0"/>
              </wp:wrapPolygon>
            </wp:wrapTight>
            <wp:docPr id="523718186" name="Picture 1" descr="A graph of 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8186" name="Picture 1" descr="A graph of a graph showing the price of a stock marke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957">
        <w:rPr>
          <w:b/>
          <w:bCs/>
        </w:rPr>
        <w:t>S21 XP Return:</w:t>
      </w:r>
    </w:p>
    <w:p w14:paraId="39E3E45D" w14:textId="37E4FD3C" w:rsidR="00452D0B" w:rsidRPr="00452D0B" w:rsidRDefault="00452D0B" w:rsidP="00223A82">
      <w:r>
        <w:t xml:space="preserve">Based on previous </w:t>
      </w:r>
      <w:r w:rsidR="0028198E">
        <w:t>inputs</w:t>
      </w:r>
      <w:r w:rsidR="0080700A">
        <w:t>,</w:t>
      </w:r>
      <w:r w:rsidR="0028198E">
        <w:t xml:space="preserve"> here </w:t>
      </w:r>
      <w:r w:rsidR="0044527A">
        <w:t>are the results</w:t>
      </w:r>
      <w:r w:rsidR="00962CA1">
        <w:t xml:space="preserve"> (vs </w:t>
      </w:r>
      <w:r w:rsidR="003E6D2F">
        <w:t xml:space="preserve">if you put that money directly into </w:t>
      </w:r>
      <w:r w:rsidR="00962CA1">
        <w:t>Bitcoin</w:t>
      </w:r>
      <w:r w:rsidR="003E6D2F">
        <w:t xml:space="preserve"> of </w:t>
      </w:r>
      <w:r w:rsidR="00962CA1">
        <w:t>course).</w:t>
      </w:r>
      <w:r w:rsidR="000E3CB1">
        <w:t xml:space="preserve"> This </w:t>
      </w:r>
      <w:r w:rsidR="005E07EB">
        <w:t xml:space="preserve">iteration of the </w:t>
      </w:r>
      <w:r w:rsidR="000E3CB1">
        <w:t xml:space="preserve">model </w:t>
      </w:r>
      <w:r w:rsidR="00A14F94">
        <w:t>uses a</w:t>
      </w:r>
      <w:r w:rsidR="004A5A8D">
        <w:t xml:space="preserve"> constant</w:t>
      </w:r>
      <w:r w:rsidR="00A14F94">
        <w:t xml:space="preserve"> 3.5 c/KWH electricity </w:t>
      </w:r>
      <w:r w:rsidR="004A5A8D">
        <w:t>charge.</w:t>
      </w:r>
      <w:r w:rsidR="00962CA1">
        <w:t xml:space="preserve"> </w:t>
      </w:r>
      <w:r w:rsidR="00104242">
        <w:t xml:space="preserve">This first output assumes that you </w:t>
      </w:r>
      <w:r w:rsidR="00104242" w:rsidRPr="00916537">
        <w:rPr>
          <w:b/>
          <w:bCs/>
        </w:rPr>
        <w:t>sell the Bitcoin</w:t>
      </w:r>
      <w:r w:rsidR="00104242">
        <w:t xml:space="preserve"> immediately when you mine it:</w:t>
      </w:r>
    </w:p>
    <w:p w14:paraId="71BE6751" w14:textId="5C28A09E" w:rsidR="00104242" w:rsidRDefault="00AB3D35" w:rsidP="00946D38">
      <w:r w:rsidRPr="00AB3D35">
        <w:drawing>
          <wp:inline distT="0" distB="0" distL="0" distR="0" wp14:anchorId="1DA6C7D5" wp14:editId="0B2520DC">
            <wp:extent cx="5791200" cy="2857858"/>
            <wp:effectExtent l="0" t="0" r="0" b="0"/>
            <wp:docPr id="177396209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2092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28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83F7" w14:textId="14B3B579" w:rsidR="00104242" w:rsidRDefault="00672C51" w:rsidP="00946D38">
      <w:r>
        <w:t xml:space="preserve">This model </w:t>
      </w:r>
      <w:r w:rsidR="00916537">
        <w:t>exhibits</w:t>
      </w:r>
      <w:r>
        <w:t xml:space="preserve"> </w:t>
      </w:r>
      <w:r w:rsidR="0046473E">
        <w:t xml:space="preserve">under the same conditions, how would the returns fair if you </w:t>
      </w:r>
      <w:r w:rsidR="00916537">
        <w:t xml:space="preserve">held the bitcoin and </w:t>
      </w:r>
      <w:r w:rsidR="00323CEF" w:rsidRPr="00916537">
        <w:rPr>
          <w:b/>
          <w:bCs/>
        </w:rPr>
        <w:t>did</w:t>
      </w:r>
      <w:r w:rsidR="00916537" w:rsidRPr="00916537">
        <w:rPr>
          <w:b/>
          <w:bCs/>
        </w:rPr>
        <w:t xml:space="preserve"> not sell</w:t>
      </w:r>
      <w:r w:rsidR="00916537">
        <w:t xml:space="preserve"> it.</w:t>
      </w:r>
      <w:r w:rsidR="005921F2">
        <w:t xml:space="preserve"> Funny how all the GP numbers are higher in the version above </w:t>
      </w:r>
      <w:r w:rsidR="00A07B7D">
        <w:t>(1 BTC = 1 BTC)</w:t>
      </w:r>
      <w:r w:rsidR="00C44A1A">
        <w:t xml:space="preserve"> </w:t>
      </w:r>
      <w:r w:rsidR="003E754E">
        <w:t>My model is assuming a significant Bitcoin price correction – which might never happen.</w:t>
      </w:r>
    </w:p>
    <w:p w14:paraId="49C4E76E" w14:textId="324F01BD" w:rsidR="00235C48" w:rsidRPr="00F1406D" w:rsidRDefault="00814FEC" w:rsidP="00946D38">
      <w:r w:rsidRPr="00814FEC">
        <w:lastRenderedPageBreak/>
        <w:drawing>
          <wp:inline distT="0" distB="0" distL="0" distR="0" wp14:anchorId="3221B298" wp14:editId="2B17718E">
            <wp:extent cx="5615940" cy="2782770"/>
            <wp:effectExtent l="0" t="0" r="3810" b="0"/>
            <wp:docPr id="181712923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29237" name="Picture 1" descr="A graph of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124" cy="27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B536" w14:textId="6E54E43D" w:rsidR="00974957" w:rsidRPr="00195921" w:rsidRDefault="00195921" w:rsidP="00946D38">
      <w:pPr>
        <w:rPr>
          <w:b/>
          <w:bCs/>
        </w:rPr>
      </w:pPr>
      <w:r>
        <w:rPr>
          <w:b/>
          <w:bCs/>
        </w:rPr>
        <w:t>Results</w:t>
      </w:r>
      <w:r w:rsidR="00446460">
        <w:rPr>
          <w:b/>
          <w:bCs/>
        </w:rPr>
        <w:t xml:space="preserve">: </w:t>
      </w:r>
    </w:p>
    <w:p w14:paraId="10B6FD9C" w14:textId="7B0E567A" w:rsidR="005B6E3E" w:rsidRDefault="00235C48" w:rsidP="00946D38">
      <w:r>
        <w:t xml:space="preserve">As </w:t>
      </w:r>
      <w:r w:rsidR="002C68F7">
        <w:t>shown</w:t>
      </w:r>
      <w:r>
        <w:t xml:space="preserve"> </w:t>
      </w:r>
      <w:r w:rsidR="002C68F7">
        <w:t>above,</w:t>
      </w:r>
      <w:r>
        <w:t xml:space="preserve"> the </w:t>
      </w:r>
      <w:r w:rsidR="00DB5DDB">
        <w:t>miners should outperform Bitcoin based the on</w:t>
      </w:r>
      <w:r w:rsidR="002C68F7">
        <w:t xml:space="preserve"> the assumed </w:t>
      </w:r>
      <w:r w:rsidR="002672AF">
        <w:t>projected mining economics (Hashrate and BTC price).</w:t>
      </w:r>
      <w:r w:rsidR="002C68F7">
        <w:t xml:space="preserve"> </w:t>
      </w:r>
      <w:r w:rsidR="00CD2AD0">
        <w:t xml:space="preserve">On a </w:t>
      </w:r>
      <w:r w:rsidR="00CD2AD0">
        <w:rPr>
          <w:b/>
          <w:bCs/>
        </w:rPr>
        <w:t>Yearly Basis</w:t>
      </w:r>
      <w:r w:rsidR="00CD2AD0">
        <w:t xml:space="preserve"> these are the gross profits </w:t>
      </w:r>
      <w:r w:rsidR="00711B7C">
        <w:t>you can expect</w:t>
      </w:r>
      <w:r w:rsidR="00B924C5">
        <w:t xml:space="preserve"> from 1 EH/s of Bitmain’s S21 XPs</w:t>
      </w:r>
      <w:r w:rsidR="00711B7C">
        <w:t xml:space="preserve"> </w:t>
      </w:r>
      <w:r w:rsidR="00C764DB">
        <w:t xml:space="preserve">over the next </w:t>
      </w:r>
      <w:r w:rsidR="004D1F1C">
        <w:t>~</w:t>
      </w:r>
      <w:r w:rsidR="00C764DB">
        <w:t>3.5 years</w:t>
      </w:r>
      <w:r w:rsidR="00195921">
        <w:t>:</w:t>
      </w:r>
      <w:r w:rsidR="00D043D1">
        <w:t xml:space="preserve"> </w:t>
      </w:r>
    </w:p>
    <w:tbl>
      <w:tblPr>
        <w:tblpPr w:leftFromText="180" w:rightFromText="180" w:vertAnchor="page" w:horzAnchor="margin" w:tblpXSpec="center" w:tblpY="7957"/>
        <w:tblW w:w="5720" w:type="dxa"/>
        <w:tblLook w:val="04A0" w:firstRow="1" w:lastRow="0" w:firstColumn="1" w:lastColumn="0" w:noHBand="0" w:noVBand="1"/>
      </w:tblPr>
      <w:tblGrid>
        <w:gridCol w:w="1400"/>
        <w:gridCol w:w="1340"/>
        <w:gridCol w:w="1460"/>
        <w:gridCol w:w="1520"/>
      </w:tblGrid>
      <w:tr w:rsidR="00F1406D" w:rsidRPr="002F763A" w14:paraId="0B561065" w14:textId="77777777" w:rsidTr="00F1406D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BDEA5D5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BTC Case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78CBE3C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KWH - .025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2D6AE62E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KWH - .035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790D3924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KWH - .045</w:t>
            </w:r>
          </w:p>
        </w:tc>
      </w:tr>
      <w:tr w:rsidR="00F1406D" w:rsidRPr="002F763A" w14:paraId="4AC53508" w14:textId="77777777" w:rsidTr="00F1406D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BF9EF8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>Bear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9DB5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$1,157,292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90E49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$603,498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5BECA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$49,704 </w:t>
            </w:r>
          </w:p>
        </w:tc>
      </w:tr>
      <w:tr w:rsidR="00F1406D" w:rsidRPr="002F763A" w14:paraId="4F3C6C08" w14:textId="77777777" w:rsidTr="00F1406D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A905218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A228E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$7,009,706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C987F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$6,455,912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32418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$5,902,118 </w:t>
            </w:r>
          </w:p>
        </w:tc>
      </w:tr>
      <w:tr w:rsidR="00F1406D" w:rsidRPr="002F763A" w14:paraId="5204C640" w14:textId="77777777" w:rsidTr="00F1406D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095B67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>Bull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458DB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$11,946,348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1AC9D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$11,392,554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7E1F9" w14:textId="77777777" w:rsidR="00F1406D" w:rsidRPr="002F763A" w:rsidRDefault="00F1406D" w:rsidP="00F1406D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F763A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$10,838,760 </w:t>
            </w:r>
          </w:p>
        </w:tc>
      </w:tr>
    </w:tbl>
    <w:p w14:paraId="3A48F443" w14:textId="77777777" w:rsidR="00D329AA" w:rsidRDefault="00D329AA" w:rsidP="00946D38"/>
    <w:p w14:paraId="04AAD2BF" w14:textId="77777777" w:rsidR="00D329AA" w:rsidRDefault="00D329AA" w:rsidP="00946D38"/>
    <w:p w14:paraId="125D06C0" w14:textId="77777777" w:rsidR="00D329AA" w:rsidRDefault="00D329AA" w:rsidP="00946D38"/>
    <w:p w14:paraId="35B6552C" w14:textId="77777777" w:rsidR="00D329AA" w:rsidRDefault="00D329AA" w:rsidP="00946D38"/>
    <w:tbl>
      <w:tblPr>
        <w:tblpPr w:leftFromText="180" w:rightFromText="180" w:vertAnchor="text" w:horzAnchor="margin" w:tblpXSpec="center" w:tblpY="663"/>
        <w:tblW w:w="3712" w:type="dxa"/>
        <w:tblLook w:val="04A0" w:firstRow="1" w:lastRow="0" w:firstColumn="1" w:lastColumn="0" w:noHBand="0" w:noVBand="1"/>
      </w:tblPr>
      <w:tblGrid>
        <w:gridCol w:w="1897"/>
        <w:gridCol w:w="1815"/>
      </w:tblGrid>
      <w:tr w:rsidR="00171E1A" w:rsidRPr="00E23DF7" w14:paraId="4B13598E" w14:textId="77777777" w:rsidTr="00171E1A">
        <w:trPr>
          <w:trHeight w:val="330"/>
        </w:trPr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60EEC83B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BTC Case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38471ED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 Dev</w:t>
            </w:r>
          </w:p>
        </w:tc>
      </w:tr>
      <w:tr w:rsidR="00171E1A" w:rsidRPr="00E23DF7" w14:paraId="5FC1233F" w14:textId="77777777" w:rsidTr="00171E1A">
        <w:trPr>
          <w:trHeight w:val="330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05F68DD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>Bear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6BCAE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$1,496,020 </w:t>
            </w:r>
          </w:p>
        </w:tc>
      </w:tr>
      <w:tr w:rsidR="00171E1A" w:rsidRPr="00E23DF7" w14:paraId="0B7D55DA" w14:textId="77777777" w:rsidTr="00171E1A">
        <w:trPr>
          <w:trHeight w:val="330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F71FF08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192E6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$1,645,146 </w:t>
            </w:r>
          </w:p>
        </w:tc>
      </w:tr>
      <w:tr w:rsidR="00171E1A" w:rsidRPr="00E23DF7" w14:paraId="1B36BD92" w14:textId="77777777" w:rsidTr="00171E1A">
        <w:trPr>
          <w:trHeight w:val="330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2534CEE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>Bull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B4444" w14:textId="77777777" w:rsidR="00171E1A" w:rsidRPr="00E23DF7" w:rsidRDefault="00171E1A" w:rsidP="00171E1A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23DF7">
              <w:rPr>
                <w:rFonts w:ascii="Aptos Narrow" w:eastAsia="Times New Roman" w:hAnsi="Aptos Narrow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$1,919,821 </w:t>
            </w:r>
          </w:p>
        </w:tc>
      </w:tr>
    </w:tbl>
    <w:p w14:paraId="56852C39" w14:textId="77777777" w:rsidR="00E23DF7" w:rsidRPr="00CD2AD0" w:rsidRDefault="00A60914" w:rsidP="00946D38">
      <w:r>
        <w:t xml:space="preserve"> Then here is the </w:t>
      </w:r>
      <w:r w:rsidRPr="00A60914">
        <w:rPr>
          <w:b/>
          <w:bCs/>
        </w:rPr>
        <w:t>standard deviation</w:t>
      </w:r>
      <w:r>
        <w:t xml:space="preserve"> of </w:t>
      </w:r>
      <w:r w:rsidR="00FF49AA">
        <w:t xml:space="preserve">the profits </w:t>
      </w:r>
      <w:r>
        <w:t xml:space="preserve">(same for each </w:t>
      </w:r>
      <w:r w:rsidR="00FF49AA">
        <w:t xml:space="preserve">energy </w:t>
      </w:r>
      <w:r>
        <w:t>cost structure):</w:t>
      </w:r>
      <w:r>
        <w:br/>
      </w:r>
      <w:r>
        <w:br/>
      </w:r>
    </w:p>
    <w:p w14:paraId="61C8E613" w14:textId="5285150B" w:rsidR="00A60914" w:rsidRPr="00CD2AD0" w:rsidRDefault="00A60914" w:rsidP="00946D38"/>
    <w:p w14:paraId="057F5643" w14:textId="7C72F90A" w:rsidR="00D329AA" w:rsidRDefault="00D329AA" w:rsidP="00946D38"/>
    <w:p w14:paraId="25A08B12" w14:textId="77777777" w:rsidR="00FF49AA" w:rsidRDefault="00FF49AA" w:rsidP="00946D38"/>
    <w:p w14:paraId="297420E3" w14:textId="3002A0C0" w:rsidR="00FF49AA" w:rsidRDefault="00FF49AA" w:rsidP="00946D38">
      <w:r>
        <w:t>As you can see there is a</w:t>
      </w:r>
      <w:r w:rsidR="001A6150">
        <w:t xml:space="preserve"> decent amount of variability to both the downside and the upside based on the model.</w:t>
      </w:r>
      <w:r w:rsidR="0055572B">
        <w:t xml:space="preserve"> </w:t>
      </w:r>
      <w:r w:rsidR="0067516A">
        <w:t xml:space="preserve">Another consideration to make is that the S21 XPs </w:t>
      </w:r>
      <w:r w:rsidR="00240F6A">
        <w:t>will</w:t>
      </w:r>
      <w:r w:rsidR="0067516A">
        <w:t xml:space="preserve"> still have some sort of value at the end of </w:t>
      </w:r>
      <w:r w:rsidR="00503BF5">
        <w:t>this Bitcoin Halving period (I am assuming they have none).</w:t>
      </w:r>
      <w:r w:rsidR="00B87AA6">
        <w:t xml:space="preserve"> </w:t>
      </w:r>
    </w:p>
    <w:p w14:paraId="70D8F0C3" w14:textId="77777777" w:rsidR="00F1406D" w:rsidRDefault="00F1406D" w:rsidP="00946D38">
      <w:pPr>
        <w:rPr>
          <w:b/>
          <w:bCs/>
        </w:rPr>
      </w:pPr>
    </w:p>
    <w:p w14:paraId="1242B29B" w14:textId="77777777" w:rsidR="00F1406D" w:rsidRDefault="00F1406D" w:rsidP="00946D38">
      <w:pPr>
        <w:rPr>
          <w:b/>
          <w:bCs/>
        </w:rPr>
      </w:pPr>
    </w:p>
    <w:p w14:paraId="07106410" w14:textId="4D996EF6" w:rsidR="00B924C5" w:rsidRDefault="00B924C5" w:rsidP="00946D38">
      <w:r>
        <w:rPr>
          <w:b/>
          <w:bCs/>
        </w:rPr>
        <w:lastRenderedPageBreak/>
        <w:t>Conclusion</w:t>
      </w:r>
    </w:p>
    <w:p w14:paraId="4C2A0434" w14:textId="6843C57F" w:rsidR="002A2FE1" w:rsidRDefault="00A41BBA" w:rsidP="00946D38">
      <w:r w:rsidRPr="00A41BBA">
        <w:t>This model demonstrates that, with effective scaling and operational excellence, Bitcoin mining has the potential to remain sustainably profitable, particularly if Bitcoin continues to appreciate.</w:t>
      </w:r>
      <w:r w:rsidR="007E7992">
        <w:t xml:space="preserve"> </w:t>
      </w:r>
      <w:r w:rsidR="007E7992">
        <w:t>Keep in mind – this illustrates some of the most optimal conditions for mining: Low J/TH, 100% uptime and low power cost.</w:t>
      </w:r>
      <w:r w:rsidR="007E7992">
        <w:t xml:space="preserve"> Then the next question becomes how much </w:t>
      </w:r>
      <w:r w:rsidR="00E3574F">
        <w:t>it costs</w:t>
      </w:r>
      <w:r w:rsidR="007E7992">
        <w:t xml:space="preserve"> to run this operation</w:t>
      </w:r>
      <w:r w:rsidR="00A2692E">
        <w:t xml:space="preserve">? </w:t>
      </w:r>
      <w:r w:rsidR="007E7992">
        <w:t xml:space="preserve">If you </w:t>
      </w:r>
      <w:r w:rsidR="00AD5DDE">
        <w:t>spend</w:t>
      </w:r>
      <w:r w:rsidR="007E7992">
        <w:t xml:space="preserve"> $200 mil</w:t>
      </w:r>
      <w:r w:rsidR="00A2692E">
        <w:t xml:space="preserve"> +</w:t>
      </w:r>
      <w:r w:rsidR="007E7992">
        <w:t xml:space="preserve"> a year </w:t>
      </w:r>
      <w:r w:rsidR="001C02DB">
        <w:t>on SGA</w:t>
      </w:r>
      <w:r w:rsidR="00AD5DDE">
        <w:t xml:space="preserve"> you will need a lot of this type of hash to remain profitable. </w:t>
      </w:r>
      <w:r w:rsidR="00B86734">
        <w:t xml:space="preserve">Just a reminder that only the most scaled and efficient miners </w:t>
      </w:r>
      <w:r w:rsidR="00E74133">
        <w:t>will thrive in all market conditions.</w:t>
      </w:r>
    </w:p>
    <w:p w14:paraId="6F417E73" w14:textId="64457B95" w:rsidR="00B924C5" w:rsidRPr="00CD2AD0" w:rsidRDefault="00B924C5" w:rsidP="00946D38"/>
    <w:sectPr w:rsidR="00B924C5" w:rsidRPr="00CD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C01EC"/>
    <w:multiLevelType w:val="hybridMultilevel"/>
    <w:tmpl w:val="4628C73E"/>
    <w:lvl w:ilvl="0" w:tplc="8A52F10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A2019"/>
    <w:multiLevelType w:val="hybridMultilevel"/>
    <w:tmpl w:val="9260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8293">
    <w:abstractNumId w:val="1"/>
  </w:num>
  <w:num w:numId="2" w16cid:durableId="57548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FA"/>
    <w:rsid w:val="00007EBB"/>
    <w:rsid w:val="00015F8E"/>
    <w:rsid w:val="0002295C"/>
    <w:rsid w:val="000B4990"/>
    <w:rsid w:val="000B77E9"/>
    <w:rsid w:val="000C45DC"/>
    <w:rsid w:val="000D418C"/>
    <w:rsid w:val="000E1673"/>
    <w:rsid w:val="000E3CB1"/>
    <w:rsid w:val="000F2E5C"/>
    <w:rsid w:val="000F5EF4"/>
    <w:rsid w:val="00104242"/>
    <w:rsid w:val="001208E7"/>
    <w:rsid w:val="00127E56"/>
    <w:rsid w:val="00145077"/>
    <w:rsid w:val="00152AB9"/>
    <w:rsid w:val="001650E8"/>
    <w:rsid w:val="001702D9"/>
    <w:rsid w:val="00171E1A"/>
    <w:rsid w:val="00187050"/>
    <w:rsid w:val="00195921"/>
    <w:rsid w:val="001A4C69"/>
    <w:rsid w:val="001A6150"/>
    <w:rsid w:val="001B2AC2"/>
    <w:rsid w:val="001C02DB"/>
    <w:rsid w:val="001C1D81"/>
    <w:rsid w:val="001D0BC2"/>
    <w:rsid w:val="001E4B21"/>
    <w:rsid w:val="001E4F1B"/>
    <w:rsid w:val="001F1434"/>
    <w:rsid w:val="001F5E5F"/>
    <w:rsid w:val="00223A82"/>
    <w:rsid w:val="00235C48"/>
    <w:rsid w:val="00240F6A"/>
    <w:rsid w:val="00245277"/>
    <w:rsid w:val="002609DE"/>
    <w:rsid w:val="00260B85"/>
    <w:rsid w:val="002672AF"/>
    <w:rsid w:val="002707DB"/>
    <w:rsid w:val="002751D0"/>
    <w:rsid w:val="0028198E"/>
    <w:rsid w:val="002A2FE1"/>
    <w:rsid w:val="002C39DB"/>
    <w:rsid w:val="002C68F7"/>
    <w:rsid w:val="002E2125"/>
    <w:rsid w:val="002E278E"/>
    <w:rsid w:val="002F0FFA"/>
    <w:rsid w:val="002F4276"/>
    <w:rsid w:val="002F4E35"/>
    <w:rsid w:val="002F763A"/>
    <w:rsid w:val="00304244"/>
    <w:rsid w:val="00323CEF"/>
    <w:rsid w:val="00333697"/>
    <w:rsid w:val="00355B6D"/>
    <w:rsid w:val="003837D2"/>
    <w:rsid w:val="00396345"/>
    <w:rsid w:val="00396682"/>
    <w:rsid w:val="003A069B"/>
    <w:rsid w:val="003A3A2E"/>
    <w:rsid w:val="003B48B9"/>
    <w:rsid w:val="003E033C"/>
    <w:rsid w:val="003E3E32"/>
    <w:rsid w:val="003E6D2F"/>
    <w:rsid w:val="003E754E"/>
    <w:rsid w:val="003F08FE"/>
    <w:rsid w:val="00402818"/>
    <w:rsid w:val="00406D78"/>
    <w:rsid w:val="00421544"/>
    <w:rsid w:val="00425D6E"/>
    <w:rsid w:val="00426887"/>
    <w:rsid w:val="004302DF"/>
    <w:rsid w:val="0044395C"/>
    <w:rsid w:val="0044527A"/>
    <w:rsid w:val="00445FDF"/>
    <w:rsid w:val="004462B2"/>
    <w:rsid w:val="00446460"/>
    <w:rsid w:val="00452D0B"/>
    <w:rsid w:val="00460647"/>
    <w:rsid w:val="0046473E"/>
    <w:rsid w:val="00483878"/>
    <w:rsid w:val="00487520"/>
    <w:rsid w:val="00494C5C"/>
    <w:rsid w:val="004A4C59"/>
    <w:rsid w:val="004A5A8D"/>
    <w:rsid w:val="004B4870"/>
    <w:rsid w:val="004D1F1C"/>
    <w:rsid w:val="004E2999"/>
    <w:rsid w:val="005004AC"/>
    <w:rsid w:val="00503BF5"/>
    <w:rsid w:val="00516948"/>
    <w:rsid w:val="00520E7A"/>
    <w:rsid w:val="0053515C"/>
    <w:rsid w:val="00542DF5"/>
    <w:rsid w:val="005467CF"/>
    <w:rsid w:val="0055391A"/>
    <w:rsid w:val="0055572B"/>
    <w:rsid w:val="00555881"/>
    <w:rsid w:val="00577615"/>
    <w:rsid w:val="0058784B"/>
    <w:rsid w:val="005921F2"/>
    <w:rsid w:val="005A4EBE"/>
    <w:rsid w:val="005B6E3E"/>
    <w:rsid w:val="005C1420"/>
    <w:rsid w:val="005C76D0"/>
    <w:rsid w:val="005D7653"/>
    <w:rsid w:val="005E07EB"/>
    <w:rsid w:val="005F4538"/>
    <w:rsid w:val="00600036"/>
    <w:rsid w:val="00603346"/>
    <w:rsid w:val="00612AB4"/>
    <w:rsid w:val="00652FFA"/>
    <w:rsid w:val="00672C51"/>
    <w:rsid w:val="0067516A"/>
    <w:rsid w:val="006759CF"/>
    <w:rsid w:val="00685931"/>
    <w:rsid w:val="006A0078"/>
    <w:rsid w:val="006A4703"/>
    <w:rsid w:val="006E0FCB"/>
    <w:rsid w:val="006E7221"/>
    <w:rsid w:val="006F678C"/>
    <w:rsid w:val="00711B7C"/>
    <w:rsid w:val="0074548D"/>
    <w:rsid w:val="007518CA"/>
    <w:rsid w:val="00760258"/>
    <w:rsid w:val="0076733E"/>
    <w:rsid w:val="00767640"/>
    <w:rsid w:val="00777A14"/>
    <w:rsid w:val="00780CDC"/>
    <w:rsid w:val="007A00E8"/>
    <w:rsid w:val="007A1301"/>
    <w:rsid w:val="007A1B14"/>
    <w:rsid w:val="007A524C"/>
    <w:rsid w:val="007B7262"/>
    <w:rsid w:val="007C203F"/>
    <w:rsid w:val="007E48DD"/>
    <w:rsid w:val="007E7992"/>
    <w:rsid w:val="007E79B9"/>
    <w:rsid w:val="007F5B4D"/>
    <w:rsid w:val="0080700A"/>
    <w:rsid w:val="008075DA"/>
    <w:rsid w:val="00814FEC"/>
    <w:rsid w:val="008250A5"/>
    <w:rsid w:val="008512BD"/>
    <w:rsid w:val="008701B5"/>
    <w:rsid w:val="00881640"/>
    <w:rsid w:val="008932C4"/>
    <w:rsid w:val="008939C4"/>
    <w:rsid w:val="00894D97"/>
    <w:rsid w:val="008B4325"/>
    <w:rsid w:val="008B70C9"/>
    <w:rsid w:val="008C039C"/>
    <w:rsid w:val="008D43C5"/>
    <w:rsid w:val="008D7FF7"/>
    <w:rsid w:val="008E20D0"/>
    <w:rsid w:val="008E33CD"/>
    <w:rsid w:val="008F6F09"/>
    <w:rsid w:val="00902090"/>
    <w:rsid w:val="0090318F"/>
    <w:rsid w:val="00906C51"/>
    <w:rsid w:val="00916537"/>
    <w:rsid w:val="0091703A"/>
    <w:rsid w:val="00921151"/>
    <w:rsid w:val="0092373A"/>
    <w:rsid w:val="009270AC"/>
    <w:rsid w:val="0092780C"/>
    <w:rsid w:val="00946D38"/>
    <w:rsid w:val="00960563"/>
    <w:rsid w:val="00961EB4"/>
    <w:rsid w:val="00962CA1"/>
    <w:rsid w:val="00974957"/>
    <w:rsid w:val="00976DC5"/>
    <w:rsid w:val="00981FC0"/>
    <w:rsid w:val="00994AAE"/>
    <w:rsid w:val="009A0718"/>
    <w:rsid w:val="009B574E"/>
    <w:rsid w:val="009B7007"/>
    <w:rsid w:val="009E3420"/>
    <w:rsid w:val="009E734B"/>
    <w:rsid w:val="009F1D4C"/>
    <w:rsid w:val="00A07B7D"/>
    <w:rsid w:val="00A14F94"/>
    <w:rsid w:val="00A2692E"/>
    <w:rsid w:val="00A35252"/>
    <w:rsid w:val="00A41BBA"/>
    <w:rsid w:val="00A45921"/>
    <w:rsid w:val="00A60914"/>
    <w:rsid w:val="00A611F9"/>
    <w:rsid w:val="00A62087"/>
    <w:rsid w:val="00A6535D"/>
    <w:rsid w:val="00AA74BD"/>
    <w:rsid w:val="00AB3D35"/>
    <w:rsid w:val="00AB64CE"/>
    <w:rsid w:val="00AC607D"/>
    <w:rsid w:val="00AD5DDE"/>
    <w:rsid w:val="00AE158B"/>
    <w:rsid w:val="00AE59B4"/>
    <w:rsid w:val="00B0220D"/>
    <w:rsid w:val="00B30532"/>
    <w:rsid w:val="00B85328"/>
    <w:rsid w:val="00B86734"/>
    <w:rsid w:val="00B87AA6"/>
    <w:rsid w:val="00B924C5"/>
    <w:rsid w:val="00B93C56"/>
    <w:rsid w:val="00BB2CA6"/>
    <w:rsid w:val="00BC2F8F"/>
    <w:rsid w:val="00BC3EA5"/>
    <w:rsid w:val="00BC4933"/>
    <w:rsid w:val="00BD0E5A"/>
    <w:rsid w:val="00C059C2"/>
    <w:rsid w:val="00C27025"/>
    <w:rsid w:val="00C37731"/>
    <w:rsid w:val="00C44A1A"/>
    <w:rsid w:val="00C450EB"/>
    <w:rsid w:val="00C764DB"/>
    <w:rsid w:val="00C8782C"/>
    <w:rsid w:val="00CA5ECB"/>
    <w:rsid w:val="00CC3AFB"/>
    <w:rsid w:val="00CC441E"/>
    <w:rsid w:val="00CD2AD0"/>
    <w:rsid w:val="00CE2900"/>
    <w:rsid w:val="00CE75A0"/>
    <w:rsid w:val="00CF52C7"/>
    <w:rsid w:val="00D002F5"/>
    <w:rsid w:val="00D03DBF"/>
    <w:rsid w:val="00D043D1"/>
    <w:rsid w:val="00D062E3"/>
    <w:rsid w:val="00D169B7"/>
    <w:rsid w:val="00D17DE4"/>
    <w:rsid w:val="00D329AA"/>
    <w:rsid w:val="00D41CDA"/>
    <w:rsid w:val="00D47771"/>
    <w:rsid w:val="00D50476"/>
    <w:rsid w:val="00D921D3"/>
    <w:rsid w:val="00DB5DDB"/>
    <w:rsid w:val="00DB72A2"/>
    <w:rsid w:val="00DB78D7"/>
    <w:rsid w:val="00E03343"/>
    <w:rsid w:val="00E03A05"/>
    <w:rsid w:val="00E05F43"/>
    <w:rsid w:val="00E10D47"/>
    <w:rsid w:val="00E145D6"/>
    <w:rsid w:val="00E23DF7"/>
    <w:rsid w:val="00E247A7"/>
    <w:rsid w:val="00E24ECF"/>
    <w:rsid w:val="00E3574F"/>
    <w:rsid w:val="00E74133"/>
    <w:rsid w:val="00E9178F"/>
    <w:rsid w:val="00EC1AF1"/>
    <w:rsid w:val="00EF26D6"/>
    <w:rsid w:val="00F03A55"/>
    <w:rsid w:val="00F05F5D"/>
    <w:rsid w:val="00F1406D"/>
    <w:rsid w:val="00F16B0C"/>
    <w:rsid w:val="00F45381"/>
    <w:rsid w:val="00F56F17"/>
    <w:rsid w:val="00F70288"/>
    <w:rsid w:val="00F92FCB"/>
    <w:rsid w:val="00FA2EB8"/>
    <w:rsid w:val="00FA4257"/>
    <w:rsid w:val="00FB08F5"/>
    <w:rsid w:val="00FB5B93"/>
    <w:rsid w:val="00FB5F4D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BB05"/>
  <w15:chartTrackingRefBased/>
  <w15:docId w15:val="{0B4D45E0-4667-496D-9C80-1109695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3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3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s.cam.ac.uk/2023/bitcoin-electricity-consumpti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8044</TotalTime>
  <Pages>6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Fassnacht</dc:creator>
  <cp:keywords/>
  <dc:description/>
  <cp:lastModifiedBy>Brock Fassnacht</cp:lastModifiedBy>
  <cp:revision>260</cp:revision>
  <cp:lastPrinted>2024-11-22T04:03:00Z</cp:lastPrinted>
  <dcterms:created xsi:type="dcterms:W3CDTF">2024-11-02T13:22:00Z</dcterms:created>
  <dcterms:modified xsi:type="dcterms:W3CDTF">2024-11-22T04:07:00Z</dcterms:modified>
</cp:coreProperties>
</file>