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AAE0" w14:textId="4337C642" w:rsidR="000D628D" w:rsidRPr="00A468B7" w:rsidRDefault="000D628D">
      <w:pPr>
        <w:rPr>
          <w:b/>
          <w:bCs/>
          <w:sz w:val="32"/>
          <w:szCs w:val="32"/>
        </w:rPr>
      </w:pPr>
      <w:r w:rsidRPr="00A468B7">
        <w:rPr>
          <w:b/>
          <w:bCs/>
          <w:sz w:val="32"/>
          <w:szCs w:val="32"/>
        </w:rPr>
        <w:t xml:space="preserve">The transition </w:t>
      </w:r>
      <w:r w:rsidR="00927609" w:rsidRPr="00A468B7">
        <w:rPr>
          <w:b/>
          <w:bCs/>
          <w:sz w:val="32"/>
          <w:szCs w:val="32"/>
        </w:rPr>
        <w:t xml:space="preserve">to spot energy pricing: Is this a sustainable </w:t>
      </w:r>
      <w:r w:rsidR="00A468B7" w:rsidRPr="00A468B7">
        <w:rPr>
          <w:b/>
          <w:bCs/>
          <w:sz w:val="32"/>
          <w:szCs w:val="32"/>
        </w:rPr>
        <w:t>solution for Iren’s Bitcoin Mining?</w:t>
      </w:r>
    </w:p>
    <w:p w14:paraId="432D6456" w14:textId="472993FB" w:rsidR="00032D1F" w:rsidRDefault="00032D1F">
      <w:r>
        <w:rPr>
          <w:noProof/>
        </w:rPr>
        <mc:AlternateContent>
          <mc:Choice Requires="wpi">
            <w:drawing>
              <wp:anchor distT="0" distB="0" distL="114300" distR="114300" simplePos="0" relativeHeight="251660288" behindDoc="0" locked="0" layoutInCell="1" allowOverlap="1" wp14:anchorId="545B4AAC" wp14:editId="021E9FC5">
                <wp:simplePos x="0" y="0"/>
                <wp:positionH relativeFrom="column">
                  <wp:posOffset>3977640</wp:posOffset>
                </wp:positionH>
                <wp:positionV relativeFrom="paragraph">
                  <wp:posOffset>2090420</wp:posOffset>
                </wp:positionV>
                <wp:extent cx="289080" cy="360"/>
                <wp:effectExtent l="95250" t="152400" r="92075" b="152400"/>
                <wp:wrapNone/>
                <wp:docPr id="7279738" name="Ink 4"/>
                <wp:cNvGraphicFramePr/>
                <a:graphic xmlns:a="http://schemas.openxmlformats.org/drawingml/2006/main">
                  <a:graphicData uri="http://schemas.microsoft.com/office/word/2010/wordprocessingInk">
                    <w14:contentPart bwMode="auto" r:id="rId4">
                      <w14:nvContentPartPr>
                        <w14:cNvContentPartPr/>
                      </w14:nvContentPartPr>
                      <w14:xfrm>
                        <a:off x="0" y="0"/>
                        <a:ext cx="289080" cy="360"/>
                      </w14:xfrm>
                    </w14:contentPart>
                  </a:graphicData>
                </a:graphic>
              </wp:anchor>
            </w:drawing>
          </mc:Choice>
          <mc:Fallback>
            <w:pict>
              <v:shapetype w14:anchorId="6AC510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08.95pt;margin-top:156.1pt;width:31.2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">
                <v:imagedata r:id="rId5" o:title=""/>
              </v:shape>
            </w:pict>
          </mc:Fallback>
        </mc:AlternateContent>
      </w:r>
      <w:r>
        <w:rPr>
          <w:noProof/>
        </w:rPr>
        <mc:AlternateContent>
          <mc:Choice Requires="wpi">
            <w:drawing>
              <wp:anchor distT="0" distB="0" distL="114300" distR="114300" simplePos="0" relativeHeight="251659264" behindDoc="0" locked="0" layoutInCell="1" allowOverlap="1" wp14:anchorId="183AA88A" wp14:editId="4F92F931">
                <wp:simplePos x="0" y="0"/>
                <wp:positionH relativeFrom="column">
                  <wp:posOffset>3939540</wp:posOffset>
                </wp:positionH>
                <wp:positionV relativeFrom="paragraph">
                  <wp:posOffset>2494280</wp:posOffset>
                </wp:positionV>
                <wp:extent cx="372110" cy="8255"/>
                <wp:effectExtent l="95250" t="152400" r="104140" b="163195"/>
                <wp:wrapNone/>
                <wp:docPr id="467093378"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372110" cy="8255"/>
                      </w14:xfrm>
                    </w14:contentPart>
                  </a:graphicData>
                </a:graphic>
              </wp:anchor>
            </w:drawing>
          </mc:Choice>
          <mc:Fallback>
            <w:pict>
              <v:shape w14:anchorId="06D4D46F" id="Ink 3" o:spid="_x0000_s1026" type="#_x0000_t75" style="position:absolute;margin-left:305.95pt;margin-top:187.9pt;width:37.75pt;height:17.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">
                <v:imagedata r:id="rId7" o:title=""/>
              </v:shape>
            </w:pict>
          </mc:Fallback>
        </mc:AlternateContent>
      </w:r>
      <w:r w:rsidR="00F51B79">
        <w:t xml:space="preserve">Iren </w:t>
      </w:r>
      <w:r w:rsidR="005D19DC">
        <w:t xml:space="preserve">made headlines this summer </w:t>
      </w:r>
      <w:r w:rsidR="00DE2796">
        <w:t>when they released their July monthly update whi</w:t>
      </w:r>
      <w:r w:rsidR="000C330C">
        <w:t>c</w:t>
      </w:r>
      <w:r w:rsidR="00DE2796">
        <w:t>h showed them suddenly mining bitcoin at a loss compared to the</w:t>
      </w:r>
      <w:r w:rsidR="00651CE5">
        <w:t xml:space="preserve"> 40%+ gross margin</w:t>
      </w:r>
      <w:r w:rsidR="00DE2796">
        <w:t>s in previous months.</w:t>
      </w:r>
      <w:r w:rsidR="003D47AD">
        <w:t xml:space="preserve"> </w:t>
      </w:r>
      <w:r w:rsidR="00480300">
        <w:t xml:space="preserve">This coincided with a short report and </w:t>
      </w:r>
      <w:r w:rsidR="00EA47A9">
        <w:t>a yen carry blowup</w:t>
      </w:r>
      <w:r w:rsidR="007E75D6">
        <w:t xml:space="preserve"> that together</w:t>
      </w:r>
      <w:r w:rsidR="00EA47A9">
        <w:t xml:space="preserve"> caused the stock to </w:t>
      </w:r>
      <w:r w:rsidR="00D244FB">
        <w:t>retrace more than 50% in a couple of weeks</w:t>
      </w:r>
      <w:r w:rsidR="007E75D6">
        <w:t>.</w:t>
      </w:r>
      <w:r w:rsidR="00651CE5" w:rsidRPr="00651CE5">
        <w:drawing>
          <wp:inline distT="0" distB="0" distL="0" distR="0" wp14:anchorId="1D13C30B" wp14:editId="470FD70D">
            <wp:extent cx="5943600" cy="2732405"/>
            <wp:effectExtent l="0" t="0" r="0" b="0"/>
            <wp:docPr id="1699500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0503" name="Picture 1" descr="A screenshot of a computer&#10;&#10;Description automatically generated"/>
                    <pic:cNvPicPr/>
                  </pic:nvPicPr>
                  <pic:blipFill>
                    <a:blip r:embed="rId8"/>
                    <a:stretch>
                      <a:fillRect/>
                    </a:stretch>
                  </pic:blipFill>
                  <pic:spPr>
                    <a:xfrm>
                      <a:off x="0" y="0"/>
                      <a:ext cx="5943600" cy="2732405"/>
                    </a:xfrm>
                    <a:prstGeom prst="rect">
                      <a:avLst/>
                    </a:prstGeom>
                  </pic:spPr>
                </pic:pic>
              </a:graphicData>
            </a:graphic>
          </wp:inline>
        </w:drawing>
      </w:r>
    </w:p>
    <w:p w14:paraId="66D53078" w14:textId="20C51E3D" w:rsidR="005E709A" w:rsidRDefault="00FA2FE7">
      <w:r>
        <w:t>So</w:t>
      </w:r>
      <w:r w:rsidR="0006079C">
        <w:t>,</w:t>
      </w:r>
      <w:r>
        <w:t xml:space="preserve"> what happened</w:t>
      </w:r>
      <w:r w:rsidR="00D244FB">
        <w:t xml:space="preserve"> to cause their energy costs to blow up</w:t>
      </w:r>
      <w:r>
        <w:t xml:space="preserve">? Iren </w:t>
      </w:r>
      <w:r w:rsidR="00D244FB">
        <w:t xml:space="preserve">purchased a hedge in the </w:t>
      </w:r>
      <w:r w:rsidR="00C04E5A">
        <w:t xml:space="preserve">that </w:t>
      </w:r>
      <w:r w:rsidR="000567C3">
        <w:t xml:space="preserve">allowed them to purchase </w:t>
      </w:r>
      <w:r w:rsidR="00984B8A">
        <w:t>electric</w:t>
      </w:r>
      <w:r w:rsidR="000567C3">
        <w:t xml:space="preserve"> at a fixed price. </w:t>
      </w:r>
      <w:r w:rsidR="005E709A">
        <w:t xml:space="preserve">This is important in ERCOT where the market is more deregulated and prone to supply demand imbalances which can cause </w:t>
      </w:r>
      <w:r w:rsidR="00434909">
        <w:t>extreme volatility in electric prices</w:t>
      </w:r>
      <w:r w:rsidR="004A6B5B">
        <w:t xml:space="preserve">. </w:t>
      </w:r>
    </w:p>
    <w:p w14:paraId="7E0BBF1A" w14:textId="77777777" w:rsidR="005E709A" w:rsidRDefault="005E709A"/>
    <w:p w14:paraId="55B374C9" w14:textId="16A6914E" w:rsidR="00475D8C" w:rsidRDefault="00A16370">
      <w:r>
        <w:t xml:space="preserve">Consider the following: </w:t>
      </w:r>
      <w:r w:rsidR="00C55464">
        <w:t>B</w:t>
      </w:r>
      <w:r w:rsidR="00984B8A">
        <w:t xml:space="preserve">ased on </w:t>
      </w:r>
      <w:r w:rsidR="000B100E">
        <w:t>Iren’s</w:t>
      </w:r>
      <w:r w:rsidR="00020025">
        <w:t xml:space="preserve"> monthly report </w:t>
      </w:r>
      <w:r w:rsidR="00984B8A">
        <w:t xml:space="preserve">their realized </w:t>
      </w:r>
      <w:r w:rsidR="00AD4BFC">
        <w:t xml:space="preserve">electrical cost was approximately </w:t>
      </w:r>
      <w:r w:rsidR="00C55464">
        <w:t>$.076 per KWh. So</w:t>
      </w:r>
      <w:r w:rsidR="00EC2DD6">
        <w:t>,</w:t>
      </w:r>
      <w:r w:rsidR="00C55464">
        <w:t xml:space="preserve"> </w:t>
      </w:r>
      <w:r w:rsidR="00507513">
        <w:t>let’s</w:t>
      </w:r>
      <w:r w:rsidR="00C55464">
        <w:t xml:space="preserve"> say the</w:t>
      </w:r>
      <w:r w:rsidR="00EC2DD6">
        <w:t>y purchased an agreement to buy</w:t>
      </w:r>
      <w:r w:rsidR="00F005B1">
        <w:t xml:space="preserve"> at $.07 per KWh. </w:t>
      </w:r>
      <w:r w:rsidR="00E541FC">
        <w:t>Most of</w:t>
      </w:r>
      <w:r w:rsidR="00F005B1">
        <w:t xml:space="preserve"> the month</w:t>
      </w:r>
      <w:r w:rsidR="00EC2DD6">
        <w:t xml:space="preserve"> the cost is well below that price, but </w:t>
      </w:r>
      <w:r w:rsidR="00072C0E">
        <w:t>ERCOT</w:t>
      </w:r>
      <w:r w:rsidR="00E541FC">
        <w:t xml:space="preserve"> can see energy prices soar up to </w:t>
      </w:r>
      <w:r w:rsidR="008B253C">
        <w:t>$5 per KWh</w:t>
      </w:r>
      <w:r w:rsidR="00B237E5">
        <w:t xml:space="preserve"> </w:t>
      </w:r>
      <w:r w:rsidR="00E8395B">
        <w:t>during peak demand</w:t>
      </w:r>
      <w:r w:rsidR="00E56D0D">
        <w:t>.</w:t>
      </w:r>
      <w:r w:rsidR="00E8395B">
        <w:t xml:space="preserve"> This can make mining very unprofitable.</w:t>
      </w:r>
      <w:r w:rsidR="00E56D0D">
        <w:t xml:space="preserve"> </w:t>
      </w:r>
      <w:r w:rsidR="003E3A47">
        <w:t xml:space="preserve">In </w:t>
      </w:r>
      <w:r w:rsidR="00B237E5">
        <w:t>fact,</w:t>
      </w:r>
      <w:r w:rsidR="003E3A47">
        <w:t xml:space="preserve"> if we look at </w:t>
      </w:r>
      <w:r w:rsidR="00E8395B">
        <w:t>July 2023,</w:t>
      </w:r>
      <w:r w:rsidR="003E3A47">
        <w:t xml:space="preserve"> we see </w:t>
      </w:r>
      <w:r w:rsidR="00E8395B">
        <w:t>there were</w:t>
      </w:r>
      <w:r w:rsidR="003458AA">
        <w:t xml:space="preserve"> 133 hours </w:t>
      </w:r>
      <w:r w:rsidR="00280849">
        <w:t xml:space="preserve">in LZ west </w:t>
      </w:r>
      <w:r w:rsidR="00E8395B">
        <w:t xml:space="preserve">(Iren’s ERCOT Zone) </w:t>
      </w:r>
      <w:r w:rsidR="00280849">
        <w:t>where the real time electricity price w</w:t>
      </w:r>
      <w:r w:rsidR="00E8395B">
        <w:t>ere</w:t>
      </w:r>
      <w:r w:rsidR="00280849">
        <w:t xml:space="preserve"> higher than $.07</w:t>
      </w:r>
      <w:r w:rsidR="00FD4579">
        <w:t xml:space="preserve"> and averaged $.22</w:t>
      </w:r>
      <w:r w:rsidR="00BD10C7">
        <w:t>2</w:t>
      </w:r>
      <w:r w:rsidR="00FD4579">
        <w:t xml:space="preserve"> per KWh</w:t>
      </w:r>
      <w:r w:rsidR="00B237E5">
        <w:t xml:space="preserve"> during those hours</w:t>
      </w:r>
      <w:r w:rsidR="00280849">
        <w:t xml:space="preserve">. </w:t>
      </w:r>
      <w:r w:rsidR="00FD4579">
        <w:t xml:space="preserve">When scaled up to the </w:t>
      </w:r>
      <w:r w:rsidR="00C72CCF">
        <w:t>241 MWs t</w:t>
      </w:r>
      <w:r w:rsidR="008A1DDD">
        <w:t xml:space="preserve">hat were operational during the month, </w:t>
      </w:r>
      <w:r w:rsidR="00C72CCF">
        <w:t xml:space="preserve">we can see how </w:t>
      </w:r>
      <w:r w:rsidR="008A1DDD">
        <w:t>beneficial this hedge can be</w:t>
      </w:r>
      <w:r w:rsidR="00C72CCF">
        <w:t>.</w:t>
      </w:r>
      <w:r w:rsidR="007403AF">
        <w:t xml:space="preserve"> </w:t>
      </w:r>
    </w:p>
    <w:p w14:paraId="5EC64522" w14:textId="0DD19314" w:rsidR="008557AC" w:rsidRPr="008A1DDD" w:rsidRDefault="001A74B2">
      <w:r>
        <w:t>Quick Math Below:</w:t>
      </w:r>
    </w:p>
    <w:p w14:paraId="37227836" w14:textId="33FC8FCD" w:rsidR="008457D8" w:rsidRDefault="001A74B2">
      <w:r w:rsidRPr="001A74B2">
        <w:rPr>
          <w:b/>
          <w:bCs/>
        </w:rPr>
        <w:t>July 202</w:t>
      </w:r>
      <w:r w:rsidR="00DC0F53">
        <w:rPr>
          <w:b/>
          <w:bCs/>
        </w:rPr>
        <w:t xml:space="preserve">3 </w:t>
      </w:r>
      <w:r w:rsidR="00DC0F53">
        <w:rPr>
          <w:b/>
          <w:bCs/>
        </w:rPr>
        <w:t>(Assuming same electrical usage)</w:t>
      </w:r>
      <w:r w:rsidR="00DC0F53" w:rsidRPr="001A74B2">
        <w:rPr>
          <w:b/>
          <w:bCs/>
        </w:rPr>
        <w:t>:</w:t>
      </w:r>
    </w:p>
    <w:p w14:paraId="59C33A09" w14:textId="422CDB19" w:rsidR="00B37212" w:rsidRDefault="00B37212" w:rsidP="008457D8">
      <w:pPr>
        <w:ind w:firstLine="720"/>
      </w:pPr>
      <w:r>
        <w:lastRenderedPageBreak/>
        <w:t>133*(.</w:t>
      </w:r>
      <w:r w:rsidR="00FD5A89">
        <w:t>22</w:t>
      </w:r>
      <w:r w:rsidR="00BD10C7">
        <w:t>2</w:t>
      </w:r>
      <w:r w:rsidR="00FD5A89">
        <w:t>-.07)</w:t>
      </w:r>
      <w:r w:rsidR="00905401">
        <w:t xml:space="preserve"> *</w:t>
      </w:r>
      <w:r w:rsidR="00C879BF">
        <w:t xml:space="preserve"> (1000*241) = </w:t>
      </w:r>
      <w:r w:rsidR="001A74B2">
        <w:t>~</w:t>
      </w:r>
      <w:r w:rsidR="00671938">
        <w:t>$4.8</w:t>
      </w:r>
      <w:r w:rsidR="000F66DC">
        <w:t>7</w:t>
      </w:r>
      <w:r w:rsidR="00671938">
        <w:t xml:space="preserve"> </w:t>
      </w:r>
      <w:r w:rsidR="008803D0">
        <w:t>million</w:t>
      </w:r>
      <w:r w:rsidR="00671938">
        <w:t xml:space="preserve"> </w:t>
      </w:r>
    </w:p>
    <w:p w14:paraId="4E14AE1F" w14:textId="16665C73" w:rsidR="008457D8" w:rsidRDefault="001A74B2" w:rsidP="001A74B2">
      <w:r w:rsidRPr="001A74B2">
        <w:rPr>
          <w:b/>
          <w:bCs/>
        </w:rPr>
        <w:t>July 202</w:t>
      </w:r>
      <w:r w:rsidR="00DC0F53">
        <w:rPr>
          <w:b/>
          <w:bCs/>
        </w:rPr>
        <w:t>4</w:t>
      </w:r>
      <w:r w:rsidR="00A713E4">
        <w:rPr>
          <w:b/>
          <w:bCs/>
        </w:rPr>
        <w:t>:</w:t>
      </w:r>
    </w:p>
    <w:p w14:paraId="27DC4CE0" w14:textId="40072FE0" w:rsidR="001A74B2" w:rsidRDefault="001A74B2" w:rsidP="008803D0">
      <w:pPr>
        <w:ind w:firstLine="720"/>
      </w:pPr>
      <w:r>
        <w:t>1</w:t>
      </w:r>
      <w:r>
        <w:t>03</w:t>
      </w:r>
      <w:r>
        <w:t>*(.</w:t>
      </w:r>
      <w:r w:rsidR="007C502F">
        <w:t>105</w:t>
      </w:r>
      <w:r>
        <w:t xml:space="preserve">-.07) * (1000*241) = </w:t>
      </w:r>
      <w:r w:rsidR="000F66DC">
        <w:t>~</w:t>
      </w:r>
      <w:r>
        <w:t>$</w:t>
      </w:r>
      <w:r w:rsidR="00FF4902">
        <w:t>886</w:t>
      </w:r>
      <w:r w:rsidR="000F66DC">
        <w:t>K</w:t>
      </w:r>
    </w:p>
    <w:p w14:paraId="48C94A3E" w14:textId="350CC7CF" w:rsidR="0025093C" w:rsidRDefault="003D70D4">
      <w:r w:rsidRPr="0073300D">
        <w:drawing>
          <wp:anchor distT="0" distB="0" distL="114300" distR="114300" simplePos="0" relativeHeight="251668480" behindDoc="1" locked="0" layoutInCell="1" allowOverlap="1" wp14:anchorId="0B9CF9EF" wp14:editId="465A2518">
            <wp:simplePos x="0" y="0"/>
            <wp:positionH relativeFrom="margin">
              <wp:align>center</wp:align>
            </wp:positionH>
            <wp:positionV relativeFrom="paragraph">
              <wp:posOffset>1052830</wp:posOffset>
            </wp:positionV>
            <wp:extent cx="5265420" cy="3120390"/>
            <wp:effectExtent l="0" t="0" r="0" b="3810"/>
            <wp:wrapTight wrapText="bothSides">
              <wp:wrapPolygon edited="0">
                <wp:start x="0" y="0"/>
                <wp:lineTo x="0" y="21495"/>
                <wp:lineTo x="21491" y="21495"/>
                <wp:lineTo x="21491" y="0"/>
                <wp:lineTo x="0" y="0"/>
              </wp:wrapPolygon>
            </wp:wrapTight>
            <wp:docPr id="1540297499" name="Picture 1" descr="A graph of electricity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97499" name="Picture 1" descr="A graph of electricity pric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65420" cy="3120390"/>
                    </a:xfrm>
                    <a:prstGeom prst="rect">
                      <a:avLst/>
                    </a:prstGeom>
                  </pic:spPr>
                </pic:pic>
              </a:graphicData>
            </a:graphic>
            <wp14:sizeRelH relativeFrom="margin">
              <wp14:pctWidth>0</wp14:pctWidth>
            </wp14:sizeRelH>
            <wp14:sizeRelV relativeFrom="margin">
              <wp14:pctHeight>0</wp14:pctHeight>
            </wp14:sizeRelV>
          </wp:anchor>
        </w:drawing>
      </w:r>
      <w:r w:rsidRPr="00FE1EE7">
        <w:drawing>
          <wp:anchor distT="0" distB="0" distL="114300" distR="114300" simplePos="0" relativeHeight="251667456" behindDoc="1" locked="0" layoutInCell="1" allowOverlap="1" wp14:anchorId="35BCDEA3" wp14:editId="62CB8419">
            <wp:simplePos x="0" y="0"/>
            <wp:positionH relativeFrom="margin">
              <wp:posOffset>323850</wp:posOffset>
            </wp:positionH>
            <wp:positionV relativeFrom="paragraph">
              <wp:posOffset>4235450</wp:posOffset>
            </wp:positionV>
            <wp:extent cx="5295900" cy="3035935"/>
            <wp:effectExtent l="0" t="0" r="0" b="0"/>
            <wp:wrapTight wrapText="bothSides">
              <wp:wrapPolygon edited="0">
                <wp:start x="0" y="0"/>
                <wp:lineTo x="0" y="21415"/>
                <wp:lineTo x="21522" y="21415"/>
                <wp:lineTo x="21522" y="0"/>
                <wp:lineTo x="0" y="0"/>
              </wp:wrapPolygon>
            </wp:wrapTight>
            <wp:docPr id="1575936301" name="Picture 1" descr="A graph of a graph showing the price of electri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36301" name="Picture 1" descr="A graph of a graph showing the price of electricity&#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295900" cy="3035935"/>
                    </a:xfrm>
                    <a:prstGeom prst="rect">
                      <a:avLst/>
                    </a:prstGeom>
                  </pic:spPr>
                </pic:pic>
              </a:graphicData>
            </a:graphic>
            <wp14:sizeRelH relativeFrom="margin">
              <wp14:pctWidth>0</wp14:pctWidth>
            </wp14:sizeRelH>
            <wp14:sizeRelV relativeFrom="margin">
              <wp14:pctHeight>0</wp14:pctHeight>
            </wp14:sizeRelV>
          </wp:anchor>
        </w:drawing>
      </w:r>
      <w:r w:rsidR="00224E81">
        <w:t>As you can see th</w:t>
      </w:r>
      <w:r w:rsidR="008803D0">
        <w:t xml:space="preserve">is method only benefits from the volatility of energy pricing. </w:t>
      </w:r>
      <w:r w:rsidR="00946858">
        <w:t>It’s</w:t>
      </w:r>
      <w:r w:rsidR="000866CD">
        <w:t xml:space="preserve"> unclear</w:t>
      </w:r>
      <w:r w:rsidR="00946858">
        <w:t xml:space="preserve"> the exact details of the hedge but </w:t>
      </w:r>
      <w:r>
        <w:t>below are graphs of July 2023 vs July 2024</w:t>
      </w:r>
      <w:r w:rsidR="008803D0">
        <w:t xml:space="preserve"> so you can visually see the difference in this volatility</w:t>
      </w:r>
      <w:r w:rsidR="00946858">
        <w:t xml:space="preserve"> and the reason why it was unsuccessful</w:t>
      </w:r>
      <w:r w:rsidR="008803D0">
        <w:t>.</w:t>
      </w:r>
      <w:r w:rsidR="00D70D9E">
        <w:t xml:space="preserve"> (I included both real time prices and the day ahead market as you can probably monetize both) </w:t>
      </w:r>
    </w:p>
    <w:p w14:paraId="09D6001B" w14:textId="0E81E182" w:rsidR="0025093C" w:rsidRDefault="0025093C"/>
    <w:p w14:paraId="055D2B7F" w14:textId="7F353688" w:rsidR="008557AC" w:rsidRDefault="004A37C8">
      <w:r>
        <w:lastRenderedPageBreak/>
        <w:t xml:space="preserve">The average real time market price for July 2024 compared to July 2023 was </w:t>
      </w:r>
      <w:r w:rsidR="000C0200">
        <w:t xml:space="preserve">$.044 </w:t>
      </w:r>
      <w:r w:rsidR="00B82C76">
        <w:t>vs $.029</w:t>
      </w:r>
      <w:r w:rsidR="00C12B30">
        <w:t xml:space="preserve">. Which </w:t>
      </w:r>
      <w:r w:rsidR="00800808">
        <w:t xml:space="preserve">may not seem like a lot, but that is over a 50% increase. </w:t>
      </w:r>
      <w:r w:rsidR="002B3A29">
        <w:t>However</w:t>
      </w:r>
      <w:r w:rsidR="002955A5">
        <w:t>,</w:t>
      </w:r>
      <w:r w:rsidR="002B3A29">
        <w:t xml:space="preserve"> if you </w:t>
      </w:r>
      <w:r w:rsidR="008803D0">
        <w:t>can</w:t>
      </w:r>
      <w:r w:rsidR="002B3A29">
        <w:t xml:space="preserve"> curtail this </w:t>
      </w:r>
      <w:r w:rsidR="0025037C">
        <w:t xml:space="preserve">electrical load and only pay for it when it is below </w:t>
      </w:r>
      <w:r w:rsidR="003F750D">
        <w:t xml:space="preserve">the estimated mining revenue line (green) you would only be paying </w:t>
      </w:r>
      <w:r w:rsidR="00CA5ECC">
        <w:t>$</w:t>
      </w:r>
      <w:r w:rsidR="00626EED">
        <w:t>.031</w:t>
      </w:r>
      <w:r w:rsidR="00CA5ECC">
        <w:t xml:space="preserve"> and </w:t>
      </w:r>
      <w:r w:rsidR="00CA5ECC">
        <w:t>$.026</w:t>
      </w:r>
      <w:r w:rsidR="00626EED">
        <w:t xml:space="preserve"> for the same time periods.</w:t>
      </w:r>
    </w:p>
    <w:p w14:paraId="586DD93C" w14:textId="0B88681A" w:rsidR="004725BE" w:rsidRPr="004725BE" w:rsidRDefault="004725BE">
      <w:pPr>
        <w:rPr>
          <w:b/>
          <w:bCs/>
        </w:rPr>
      </w:pPr>
      <w:r w:rsidRPr="004725BE">
        <w:rPr>
          <w:b/>
          <w:bCs/>
        </w:rPr>
        <w:t>Did something in ERCOT</w:t>
      </w:r>
      <w:r w:rsidR="009E031B">
        <w:rPr>
          <w:b/>
          <w:bCs/>
        </w:rPr>
        <w:t>’s LZ West</w:t>
      </w:r>
      <w:r w:rsidRPr="004725BE">
        <w:rPr>
          <w:b/>
          <w:bCs/>
        </w:rPr>
        <w:t xml:space="preserve"> Change?</w:t>
      </w:r>
    </w:p>
    <w:p w14:paraId="131D8D4B" w14:textId="39D4987E" w:rsidR="00B33F95" w:rsidRDefault="0002250F">
      <w:r>
        <w:t xml:space="preserve">My initial question was there something that changed in ERCOT itself </w:t>
      </w:r>
      <w:r w:rsidR="002260A3">
        <w:t xml:space="preserve">that suppressed the </w:t>
      </w:r>
      <w:r w:rsidR="003B1E87">
        <w:t>volatil</w:t>
      </w:r>
      <w:r w:rsidR="002260A3">
        <w:t>ity</w:t>
      </w:r>
      <w:r w:rsidR="003B1E87">
        <w:t xml:space="preserve"> pricing?</w:t>
      </w:r>
      <w:r w:rsidR="00B22026">
        <w:t xml:space="preserve"> </w:t>
      </w:r>
      <w:r w:rsidR="004725BE">
        <w:t xml:space="preserve">ERCOT’s market is always </w:t>
      </w:r>
      <w:r w:rsidR="00B33F95">
        <w:t>growing and adding new energy producers</w:t>
      </w:r>
      <w:r w:rsidR="00602BD2">
        <w:t xml:space="preserve"> so from the outside it’s hard to </w:t>
      </w:r>
      <w:r w:rsidR="00FA7675">
        <w:t xml:space="preserve">exactly </w:t>
      </w:r>
      <w:r w:rsidR="00602BD2">
        <w:t>pinpoint</w:t>
      </w:r>
      <w:r w:rsidR="00B33F95">
        <w:t>.</w:t>
      </w:r>
      <w:r w:rsidR="00FA7675">
        <w:t xml:space="preserve"> But, I think a lot </w:t>
      </w:r>
      <w:r w:rsidR="00CF36C8">
        <w:t xml:space="preserve">of upgrades have been made to the grid after the 2021 ice storm </w:t>
      </w:r>
      <w:r w:rsidR="00DC2787">
        <w:t>most notably more battery storage (</w:t>
      </w:r>
      <w:hyperlink r:id="rId11" w:history="1">
        <w:r w:rsidR="00DC2787" w:rsidRPr="00DC2787">
          <w:rPr>
            <w:rStyle w:val="Hyperlink"/>
          </w:rPr>
          <w:t>Battery Storage</w:t>
        </w:r>
      </w:hyperlink>
      <w:r w:rsidR="00DC2787">
        <w:t>)</w:t>
      </w:r>
      <w:r w:rsidR="00CF36C8">
        <w:t xml:space="preserve">. </w:t>
      </w:r>
      <w:r w:rsidR="00084EC6">
        <w:t>Specifically</w:t>
      </w:r>
      <w:r w:rsidR="00602BD2">
        <w:t xml:space="preserve"> in Iren’s</w:t>
      </w:r>
      <w:r w:rsidR="000858A0">
        <w:t xml:space="preserve"> case, </w:t>
      </w:r>
      <w:r w:rsidR="00BF329D">
        <w:t>Childress</w:t>
      </w:r>
      <w:r w:rsidR="000858A0">
        <w:t xml:space="preserve"> add</w:t>
      </w:r>
      <w:r w:rsidR="00E47A4E">
        <w:t xml:space="preserve">ed </w:t>
      </w:r>
      <w:r w:rsidR="000858A0">
        <w:t xml:space="preserve">a new </w:t>
      </w:r>
      <w:r w:rsidR="003A44D1">
        <w:t>solar p</w:t>
      </w:r>
      <w:r w:rsidR="00E47A4E">
        <w:t>roject</w:t>
      </w:r>
      <w:r w:rsidR="002260A3">
        <w:t xml:space="preserve"> at the end of 2024</w:t>
      </w:r>
      <w:r w:rsidR="00E47A4E">
        <w:t>, but that only came online (supposedly) in December 2024</w:t>
      </w:r>
      <w:r w:rsidR="00084EC6">
        <w:t xml:space="preserve"> so that probably didn’t impact July</w:t>
      </w:r>
      <w:r w:rsidR="00E47A4E">
        <w:t>. (</w:t>
      </w:r>
      <w:hyperlink r:id="rId12" w:history="1">
        <w:r w:rsidR="00EE2836" w:rsidRPr="00EE2836">
          <w:rPr>
            <w:rStyle w:val="Hyperlink"/>
          </w:rPr>
          <w:t>li</w:t>
        </w:r>
        <w:r w:rsidR="00EE2836" w:rsidRPr="00EE2836">
          <w:rPr>
            <w:rStyle w:val="Hyperlink"/>
          </w:rPr>
          <w:t>n</w:t>
        </w:r>
        <w:r w:rsidR="00EE2836" w:rsidRPr="00EE2836">
          <w:rPr>
            <w:rStyle w:val="Hyperlink"/>
          </w:rPr>
          <w:t>k</w:t>
        </w:r>
      </w:hyperlink>
      <w:r w:rsidR="00E47A4E">
        <w:t>)</w:t>
      </w:r>
    </w:p>
    <w:p w14:paraId="3978EF00" w14:textId="0B4072D3" w:rsidR="00F83490" w:rsidRDefault="006B29EB">
      <w:r>
        <w:t>I then analyzed the last 5 years of ERCOT data to see if I could see this trend. I</w:t>
      </w:r>
      <w:r w:rsidR="006E55A3">
        <w:t xml:space="preserve">t seems that 2024 </w:t>
      </w:r>
      <w:r w:rsidR="003B44C4">
        <w:t>had more stable prices</w:t>
      </w:r>
      <w:r w:rsidR="00884CD1">
        <w:t xml:space="preserve"> when compared to 2023 and parts of 202</w:t>
      </w:r>
      <w:r w:rsidR="0090608F">
        <w:t xml:space="preserve">2, but </w:t>
      </w:r>
      <w:r w:rsidR="00A91F93">
        <w:t xml:space="preserve">fairly </w:t>
      </w:r>
      <w:r w:rsidR="0090608F">
        <w:t>similar to 2020 and 202</w:t>
      </w:r>
      <w:r>
        <w:t>1</w:t>
      </w:r>
      <w:r w:rsidR="00884CD1">
        <w:t xml:space="preserve">. </w:t>
      </w:r>
    </w:p>
    <w:p w14:paraId="489C23E2" w14:textId="20623473" w:rsidR="00D01E7D" w:rsidRDefault="00D01E7D">
      <w:r w:rsidRPr="00D01E7D">
        <w:drawing>
          <wp:inline distT="0" distB="0" distL="0" distR="0" wp14:anchorId="13296D2E" wp14:editId="0AD577B0">
            <wp:extent cx="5943600" cy="3529965"/>
            <wp:effectExtent l="0" t="0" r="0" b="0"/>
            <wp:docPr id="1969649689" name="Picture 1"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49689" name="Picture 1" descr="A graph with lines and dots&#10;&#10;Description automatically generated"/>
                    <pic:cNvPicPr/>
                  </pic:nvPicPr>
                  <pic:blipFill>
                    <a:blip r:embed="rId13"/>
                    <a:stretch>
                      <a:fillRect/>
                    </a:stretch>
                  </pic:blipFill>
                  <pic:spPr>
                    <a:xfrm>
                      <a:off x="0" y="0"/>
                      <a:ext cx="5943600" cy="3529965"/>
                    </a:xfrm>
                    <a:prstGeom prst="rect">
                      <a:avLst/>
                    </a:prstGeom>
                  </pic:spPr>
                </pic:pic>
              </a:graphicData>
            </a:graphic>
          </wp:inline>
        </w:drawing>
      </w:r>
    </w:p>
    <w:p w14:paraId="28283E5A" w14:textId="09780ACB" w:rsidR="00BF329D" w:rsidRDefault="00BF329D" w:rsidP="00BF329D">
      <w:r>
        <w:t xml:space="preserve">Note: I excluded February 2021 from </w:t>
      </w:r>
      <w:r>
        <w:t>all historical</w:t>
      </w:r>
      <w:r>
        <w:t xml:space="preserve"> analys</w:t>
      </w:r>
      <w:r>
        <w:t>es</w:t>
      </w:r>
      <w:r>
        <w:t xml:space="preserve"> (Texas Ice storm)</w:t>
      </w:r>
    </w:p>
    <w:p w14:paraId="58AFA36E" w14:textId="59CC6F07" w:rsidR="008705A4" w:rsidRDefault="008705A4" w:rsidP="008705A4">
      <w:r>
        <w:t>I also looked at the spread of prices as a whole and compared 2020-2023 to 2024</w:t>
      </w:r>
      <w:r w:rsidR="009D65AE">
        <w:t xml:space="preserve"> below</w:t>
      </w:r>
      <w:r>
        <w:t xml:space="preserve">. We can </w:t>
      </w:r>
      <w:r w:rsidR="004759D4">
        <w:t>on a monthly basis</w:t>
      </w:r>
      <w:r>
        <w:t xml:space="preserve">, electric prices have been lower this year </w:t>
      </w:r>
      <w:r>
        <w:t>than</w:t>
      </w:r>
      <w:r>
        <w:t xml:space="preserve"> the previous 4</w:t>
      </w:r>
      <w:r w:rsidR="009D65AE">
        <w:t xml:space="preserve"> (red bars are lower than green bars)</w:t>
      </w:r>
      <w:r>
        <w:t>.</w:t>
      </w:r>
      <w:r w:rsidR="00BD7EFD">
        <w:t xml:space="preserve"> </w:t>
      </w:r>
    </w:p>
    <w:p w14:paraId="7BB94A94" w14:textId="5C90379E" w:rsidR="00B02328" w:rsidRDefault="009151E9">
      <w:r w:rsidRPr="0002042A">
        <w:rPr>
          <w:b/>
          <w:bCs/>
        </w:rPr>
        <w:lastRenderedPageBreak/>
        <w:drawing>
          <wp:anchor distT="0" distB="0" distL="114300" distR="114300" simplePos="0" relativeHeight="251669504" behindDoc="1" locked="0" layoutInCell="1" allowOverlap="1" wp14:anchorId="70BCD3DD" wp14:editId="6AFB01ED">
            <wp:simplePos x="0" y="0"/>
            <wp:positionH relativeFrom="margin">
              <wp:align>center</wp:align>
            </wp:positionH>
            <wp:positionV relativeFrom="paragraph">
              <wp:posOffset>4899025</wp:posOffset>
            </wp:positionV>
            <wp:extent cx="5631180" cy="3216275"/>
            <wp:effectExtent l="0" t="0" r="7620" b="3175"/>
            <wp:wrapTight wrapText="bothSides">
              <wp:wrapPolygon edited="0">
                <wp:start x="0" y="0"/>
                <wp:lineTo x="0" y="21493"/>
                <wp:lineTo x="21556" y="21493"/>
                <wp:lineTo x="21556" y="0"/>
                <wp:lineTo x="0" y="0"/>
              </wp:wrapPolygon>
            </wp:wrapTight>
            <wp:docPr id="400068505" name="Picture 1" descr="A graph with colorful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505" name="Picture 1" descr="A graph with colorful lines and number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31180" cy="3216275"/>
                    </a:xfrm>
                    <a:prstGeom prst="rect">
                      <a:avLst/>
                    </a:prstGeom>
                  </pic:spPr>
                </pic:pic>
              </a:graphicData>
            </a:graphic>
            <wp14:sizeRelH relativeFrom="margin">
              <wp14:pctWidth>0</wp14:pctWidth>
            </wp14:sizeRelH>
            <wp14:sizeRelV relativeFrom="margin">
              <wp14:pctHeight>0</wp14:pctHeight>
            </wp14:sizeRelV>
          </wp:anchor>
        </w:drawing>
      </w:r>
      <w:r w:rsidR="00DC2787" w:rsidRPr="00EF702D">
        <w:drawing>
          <wp:anchor distT="0" distB="0" distL="114300" distR="114300" simplePos="0" relativeHeight="251666432" behindDoc="1" locked="0" layoutInCell="1" allowOverlap="1" wp14:anchorId="7E7E9806" wp14:editId="189335AD">
            <wp:simplePos x="0" y="0"/>
            <wp:positionH relativeFrom="margin">
              <wp:posOffset>189230</wp:posOffset>
            </wp:positionH>
            <wp:positionV relativeFrom="paragraph">
              <wp:posOffset>0</wp:posOffset>
            </wp:positionV>
            <wp:extent cx="5723255" cy="3394710"/>
            <wp:effectExtent l="0" t="0" r="0" b="0"/>
            <wp:wrapTight wrapText="bothSides">
              <wp:wrapPolygon edited="0">
                <wp:start x="0" y="0"/>
                <wp:lineTo x="0" y="21455"/>
                <wp:lineTo x="21497" y="21455"/>
                <wp:lineTo x="21497" y="0"/>
                <wp:lineTo x="0" y="0"/>
              </wp:wrapPolygon>
            </wp:wrapTight>
            <wp:docPr id="1140255347" name="Picture 1" descr="A graph showing the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55347" name="Picture 1" descr="A graph showing the number of different colored bar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3255" cy="3394710"/>
                    </a:xfrm>
                    <a:prstGeom prst="rect">
                      <a:avLst/>
                    </a:prstGeom>
                  </pic:spPr>
                </pic:pic>
              </a:graphicData>
            </a:graphic>
            <wp14:sizeRelH relativeFrom="margin">
              <wp14:pctWidth>0</wp14:pctWidth>
            </wp14:sizeRelH>
            <wp14:sizeRelV relativeFrom="margin">
              <wp14:pctHeight>0</wp14:pctHeight>
            </wp14:sizeRelV>
          </wp:anchor>
        </w:drawing>
      </w:r>
      <w:r w:rsidR="00B07328">
        <w:t xml:space="preserve">Since Bitcoin mining is a flexible </w:t>
      </w:r>
      <w:r>
        <w:t>load,</w:t>
      </w:r>
      <w:r w:rsidR="00B07328">
        <w:t xml:space="preserve"> we </w:t>
      </w:r>
      <w:r w:rsidR="0088784C">
        <w:t xml:space="preserve">can curtail the load when prices are too high. </w:t>
      </w:r>
      <w:r>
        <w:t>Below</w:t>
      </w:r>
      <w:r w:rsidR="007F1DF1">
        <w:t xml:space="preserve"> are the </w:t>
      </w:r>
      <w:r>
        <w:t>number</w:t>
      </w:r>
      <w:r w:rsidR="007F1DF1">
        <w:t xml:space="preserve"> of hours each month </w:t>
      </w:r>
      <w:r w:rsidR="001726E5">
        <w:t>where</w:t>
      </w:r>
      <w:r w:rsidR="007F1DF1">
        <w:t xml:space="preserve"> electric prices exceed the </w:t>
      </w:r>
      <w:r w:rsidR="009E0C2B">
        <w:t>approximate</w:t>
      </w:r>
      <w:r w:rsidR="007F1DF1">
        <w:t xml:space="preserve"> revenue Iren </w:t>
      </w:r>
      <w:r w:rsidR="009E0C2B">
        <w:t xml:space="preserve">currently </w:t>
      </w:r>
      <w:r w:rsidR="007F1DF1">
        <w:t xml:space="preserve">brings in </w:t>
      </w:r>
      <w:r w:rsidR="00C70005">
        <w:t xml:space="preserve">based </w:t>
      </w:r>
      <w:r w:rsidR="00BF1B8A">
        <w:t>off</w:t>
      </w:r>
      <w:r w:rsidR="00C70005">
        <w:t xml:space="preserve"> their efficiency and </w:t>
      </w:r>
      <w:r w:rsidR="009E0C2B">
        <w:t xml:space="preserve">present </w:t>
      </w:r>
      <w:r>
        <w:t>bitcoin mining economics.</w:t>
      </w:r>
      <w:r w:rsidR="001616F5">
        <w:t xml:space="preserve"> </w:t>
      </w:r>
      <w:r w:rsidR="005F4AE7">
        <w:t xml:space="preserve">It appears there should be a day or two each month </w:t>
      </w:r>
      <w:r w:rsidR="001726E5">
        <w:t>where</w:t>
      </w:r>
      <w:r w:rsidR="005F4AE7">
        <w:t xml:space="preserve"> miners should be </w:t>
      </w:r>
      <w:r w:rsidR="00553CCB">
        <w:t>offline,</w:t>
      </w:r>
      <w:r w:rsidR="005F4AE7">
        <w:t xml:space="preserve"> not a huge deal. However</w:t>
      </w:r>
      <w:r w:rsidR="001726E5">
        <w:t xml:space="preserve">, </w:t>
      </w:r>
      <w:r w:rsidR="00553CCB">
        <w:t>if IREN brings HPC to Texas this is a factor to consider</w:t>
      </w:r>
      <w:r w:rsidR="00B02328">
        <w:t>, and they may want to consider another hedging strategy.</w:t>
      </w:r>
      <w:r w:rsidR="001726E5">
        <w:t xml:space="preserve"> </w:t>
      </w:r>
    </w:p>
    <w:p w14:paraId="723C24A4" w14:textId="4E04065E" w:rsidR="00B33F95" w:rsidRDefault="00C97377">
      <w:r>
        <w:rPr>
          <w:b/>
          <w:bCs/>
        </w:rPr>
        <w:lastRenderedPageBreak/>
        <w:t xml:space="preserve">Conclusion: </w:t>
      </w:r>
      <w:r w:rsidR="00796B31" w:rsidRPr="00796B31">
        <w:t>ERCOT, and West Texas in particular, offer some of the lowest-cost green energy sources, making it an ideal location for Bitcoin mining. However, it's important to note that the metrics presented in this report are based on generalized data publicly available from ERCOT, and they do not account for any specific agreements Iren might have with utilities. Given the grid-friendly nature of Bitcoin mining, it's reasonable to assume that Iren secures even more competitive electricity rates.</w:t>
      </w:r>
    </w:p>
    <w:p w14:paraId="0F986F76" w14:textId="77777777" w:rsidR="00F5066C" w:rsidRDefault="00F5066C"/>
    <w:p w14:paraId="14B5DB96" w14:textId="69793289" w:rsidR="00F5066C" w:rsidRDefault="003E38A5">
      <w:r w:rsidRPr="003E38A5">
        <w:t xml:space="preserve">I am highly confident in Iren's capability to scale its operations more efficiently, given that the bulk of its megawatts (MWs) are located in West Texas. I am particularly optimistic about Iren's potential to continue demonstrating industry-leading </w:t>
      </w:r>
      <w:r>
        <w:t>costs</w:t>
      </w:r>
      <w:r w:rsidRPr="003E38A5">
        <w:t>, especially at their Childress site. Iren stands out among Bitcoin miners with its remarkable progress throughout 2024, and I anticipate this positive trend will persist.</w:t>
      </w:r>
      <w:r w:rsidR="00C6629A">
        <w:br/>
      </w:r>
    </w:p>
    <w:p w14:paraId="16013858" w14:textId="5BC8857E" w:rsidR="00C6629A" w:rsidRPr="000D0B6E" w:rsidRDefault="00C6629A">
      <w:r>
        <w:rPr>
          <w:noProof/>
        </w:rPr>
        <w:drawing>
          <wp:anchor distT="0" distB="0" distL="114300" distR="114300" simplePos="0" relativeHeight="251670528" behindDoc="1" locked="0" layoutInCell="1" allowOverlap="1" wp14:anchorId="70E21736" wp14:editId="56326CA4">
            <wp:simplePos x="0" y="0"/>
            <wp:positionH relativeFrom="margin">
              <wp:align>center</wp:align>
            </wp:positionH>
            <wp:positionV relativeFrom="paragraph">
              <wp:posOffset>-635</wp:posOffset>
            </wp:positionV>
            <wp:extent cx="4572000" cy="2743200"/>
            <wp:effectExtent l="0" t="0" r="0" b="0"/>
            <wp:wrapTight wrapText="bothSides">
              <wp:wrapPolygon edited="0">
                <wp:start x="0" y="0"/>
                <wp:lineTo x="0" y="21450"/>
                <wp:lineTo x="21510" y="21450"/>
                <wp:lineTo x="21510" y="0"/>
                <wp:lineTo x="0" y="0"/>
              </wp:wrapPolygon>
            </wp:wrapTight>
            <wp:docPr id="1087070249" name="Chart 1">
              <a:extLst xmlns:a="http://schemas.openxmlformats.org/drawingml/2006/main">
                <a:ext uri="{FF2B5EF4-FFF2-40B4-BE49-F238E27FC236}">
                  <a16:creationId xmlns:a16="http://schemas.microsoft.com/office/drawing/2014/main" id="{8E6CD1A2-78A7-5355-A17B-8F5D4054E5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7C89D6C4" w14:textId="57B1725C" w:rsidR="00B33F95" w:rsidRDefault="00B33F95"/>
    <w:p w14:paraId="78285815" w14:textId="16C0E80F" w:rsidR="00B33F95" w:rsidRDefault="00B33F95"/>
    <w:p w14:paraId="24DF1C24" w14:textId="455BE973" w:rsidR="00331339" w:rsidRDefault="00331339"/>
    <w:p w14:paraId="1E4388D5" w14:textId="778143B7" w:rsidR="00B33F95" w:rsidRDefault="00B33F95"/>
    <w:p w14:paraId="310288B2" w14:textId="77777777" w:rsidR="00B33F95" w:rsidRDefault="00B33F95"/>
    <w:p w14:paraId="272F2343" w14:textId="77777777" w:rsidR="00B33F95" w:rsidRDefault="00B33F95"/>
    <w:p w14:paraId="03A36194" w14:textId="77777777" w:rsidR="00B33F95" w:rsidRDefault="00B33F95"/>
    <w:p w14:paraId="7F61E74B" w14:textId="77777777" w:rsidR="00B33F95" w:rsidRDefault="00B33F95"/>
    <w:p w14:paraId="2E586D10" w14:textId="77777777" w:rsidR="00B33F95" w:rsidRDefault="00B33F95"/>
    <w:sectPr w:rsidR="00B33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31"/>
    <w:rsid w:val="00020025"/>
    <w:rsid w:val="0002042A"/>
    <w:rsid w:val="0002250F"/>
    <w:rsid w:val="00032D1F"/>
    <w:rsid w:val="00050535"/>
    <w:rsid w:val="000567C3"/>
    <w:rsid w:val="0006079C"/>
    <w:rsid w:val="00072C0E"/>
    <w:rsid w:val="00084EC6"/>
    <w:rsid w:val="000858A0"/>
    <w:rsid w:val="000866CD"/>
    <w:rsid w:val="000A053E"/>
    <w:rsid w:val="000A40D6"/>
    <w:rsid w:val="000B100E"/>
    <w:rsid w:val="000C0200"/>
    <w:rsid w:val="000C330C"/>
    <w:rsid w:val="000D0B6E"/>
    <w:rsid w:val="000D628D"/>
    <w:rsid w:val="000D6C94"/>
    <w:rsid w:val="000F66DC"/>
    <w:rsid w:val="000F797F"/>
    <w:rsid w:val="001616F5"/>
    <w:rsid w:val="0016773F"/>
    <w:rsid w:val="001726E5"/>
    <w:rsid w:val="001A74B2"/>
    <w:rsid w:val="00224E81"/>
    <w:rsid w:val="002260A3"/>
    <w:rsid w:val="0025037C"/>
    <w:rsid w:val="0025093C"/>
    <w:rsid w:val="00276229"/>
    <w:rsid w:val="00280849"/>
    <w:rsid w:val="002955A5"/>
    <w:rsid w:val="002B363A"/>
    <w:rsid w:val="002B3A29"/>
    <w:rsid w:val="002F6358"/>
    <w:rsid w:val="003104F3"/>
    <w:rsid w:val="00320A06"/>
    <w:rsid w:val="00331339"/>
    <w:rsid w:val="003458AA"/>
    <w:rsid w:val="003A44D1"/>
    <w:rsid w:val="003B1E87"/>
    <w:rsid w:val="003B44C4"/>
    <w:rsid w:val="003D47AD"/>
    <w:rsid w:val="003D70D4"/>
    <w:rsid w:val="003E38A5"/>
    <w:rsid w:val="003E3A47"/>
    <w:rsid w:val="003F750D"/>
    <w:rsid w:val="00434909"/>
    <w:rsid w:val="004725BE"/>
    <w:rsid w:val="004759D4"/>
    <w:rsid w:val="00475D8C"/>
    <w:rsid w:val="00480300"/>
    <w:rsid w:val="00484C92"/>
    <w:rsid w:val="004A37C8"/>
    <w:rsid w:val="004A698E"/>
    <w:rsid w:val="004A6B5B"/>
    <w:rsid w:val="00507513"/>
    <w:rsid w:val="00553CCB"/>
    <w:rsid w:val="00586D58"/>
    <w:rsid w:val="005C1B25"/>
    <w:rsid w:val="005D19DC"/>
    <w:rsid w:val="005E709A"/>
    <w:rsid w:val="005F4AE7"/>
    <w:rsid w:val="00602BD2"/>
    <w:rsid w:val="00626EED"/>
    <w:rsid w:val="00651CE5"/>
    <w:rsid w:val="006601B7"/>
    <w:rsid w:val="00671938"/>
    <w:rsid w:val="006969BD"/>
    <w:rsid w:val="006B29EB"/>
    <w:rsid w:val="006E55A3"/>
    <w:rsid w:val="006F1D3B"/>
    <w:rsid w:val="0073300D"/>
    <w:rsid w:val="00737F9F"/>
    <w:rsid w:val="007403AF"/>
    <w:rsid w:val="00796B31"/>
    <w:rsid w:val="007C502F"/>
    <w:rsid w:val="007E75D6"/>
    <w:rsid w:val="007F1DF1"/>
    <w:rsid w:val="007F2A2D"/>
    <w:rsid w:val="00800808"/>
    <w:rsid w:val="008457D8"/>
    <w:rsid w:val="008557AC"/>
    <w:rsid w:val="008705A4"/>
    <w:rsid w:val="008803D0"/>
    <w:rsid w:val="00884CD1"/>
    <w:rsid w:val="0088784C"/>
    <w:rsid w:val="008A1DDD"/>
    <w:rsid w:val="008B253C"/>
    <w:rsid w:val="008C5494"/>
    <w:rsid w:val="00905401"/>
    <w:rsid w:val="0090608F"/>
    <w:rsid w:val="009151E9"/>
    <w:rsid w:val="00917952"/>
    <w:rsid w:val="00927609"/>
    <w:rsid w:val="00946858"/>
    <w:rsid w:val="009620D2"/>
    <w:rsid w:val="00967AB1"/>
    <w:rsid w:val="00984B8A"/>
    <w:rsid w:val="009A6F2F"/>
    <w:rsid w:val="009D65AE"/>
    <w:rsid w:val="009E031B"/>
    <w:rsid w:val="009E0C2B"/>
    <w:rsid w:val="009F0853"/>
    <w:rsid w:val="00A16370"/>
    <w:rsid w:val="00A4573A"/>
    <w:rsid w:val="00A468B7"/>
    <w:rsid w:val="00A713E4"/>
    <w:rsid w:val="00A91BAD"/>
    <w:rsid w:val="00A91F93"/>
    <w:rsid w:val="00AA2F36"/>
    <w:rsid w:val="00AB7E31"/>
    <w:rsid w:val="00AD4BFC"/>
    <w:rsid w:val="00B01B56"/>
    <w:rsid w:val="00B02328"/>
    <w:rsid w:val="00B04BBF"/>
    <w:rsid w:val="00B07328"/>
    <w:rsid w:val="00B22026"/>
    <w:rsid w:val="00B237E5"/>
    <w:rsid w:val="00B33F95"/>
    <w:rsid w:val="00B37212"/>
    <w:rsid w:val="00B47050"/>
    <w:rsid w:val="00B537C5"/>
    <w:rsid w:val="00B70143"/>
    <w:rsid w:val="00B75BB4"/>
    <w:rsid w:val="00B82C76"/>
    <w:rsid w:val="00BC74AF"/>
    <w:rsid w:val="00BD10C7"/>
    <w:rsid w:val="00BD7EFD"/>
    <w:rsid w:val="00BF1B8A"/>
    <w:rsid w:val="00BF329D"/>
    <w:rsid w:val="00BF52EC"/>
    <w:rsid w:val="00C04E5A"/>
    <w:rsid w:val="00C1013D"/>
    <w:rsid w:val="00C12B30"/>
    <w:rsid w:val="00C13FB7"/>
    <w:rsid w:val="00C55464"/>
    <w:rsid w:val="00C6629A"/>
    <w:rsid w:val="00C67457"/>
    <w:rsid w:val="00C70005"/>
    <w:rsid w:val="00C72CCF"/>
    <w:rsid w:val="00C75A39"/>
    <w:rsid w:val="00C879BF"/>
    <w:rsid w:val="00C97377"/>
    <w:rsid w:val="00CA5ECC"/>
    <w:rsid w:val="00CB5183"/>
    <w:rsid w:val="00CF36C8"/>
    <w:rsid w:val="00D01E7D"/>
    <w:rsid w:val="00D244FB"/>
    <w:rsid w:val="00D32636"/>
    <w:rsid w:val="00D54E49"/>
    <w:rsid w:val="00D70D9E"/>
    <w:rsid w:val="00DC0F53"/>
    <w:rsid w:val="00DC2787"/>
    <w:rsid w:val="00DE2796"/>
    <w:rsid w:val="00DE56A4"/>
    <w:rsid w:val="00DF11CA"/>
    <w:rsid w:val="00E2614F"/>
    <w:rsid w:val="00E47A4E"/>
    <w:rsid w:val="00E541FC"/>
    <w:rsid w:val="00E56D0D"/>
    <w:rsid w:val="00E67011"/>
    <w:rsid w:val="00E8395B"/>
    <w:rsid w:val="00E863C5"/>
    <w:rsid w:val="00E94043"/>
    <w:rsid w:val="00EA47A9"/>
    <w:rsid w:val="00EC2DD6"/>
    <w:rsid w:val="00EE2836"/>
    <w:rsid w:val="00EF702D"/>
    <w:rsid w:val="00F005B1"/>
    <w:rsid w:val="00F5066C"/>
    <w:rsid w:val="00F51B79"/>
    <w:rsid w:val="00F83490"/>
    <w:rsid w:val="00FA2FE7"/>
    <w:rsid w:val="00FA7675"/>
    <w:rsid w:val="00FB6DC4"/>
    <w:rsid w:val="00FD4579"/>
    <w:rsid w:val="00FD5A89"/>
    <w:rsid w:val="00FE1EE7"/>
    <w:rsid w:val="00FF4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C699"/>
  <w15:chartTrackingRefBased/>
  <w15:docId w15:val="{C887E92D-BDC7-4EC0-BE69-8CC5BBB8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E31"/>
    <w:rPr>
      <w:rFonts w:eastAsiaTheme="majorEastAsia" w:cstheme="majorBidi"/>
      <w:color w:val="272727" w:themeColor="text1" w:themeTint="D8"/>
    </w:rPr>
  </w:style>
  <w:style w:type="paragraph" w:styleId="Title">
    <w:name w:val="Title"/>
    <w:basedOn w:val="Normal"/>
    <w:next w:val="Normal"/>
    <w:link w:val="TitleChar"/>
    <w:uiPriority w:val="10"/>
    <w:qFormat/>
    <w:rsid w:val="00AB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E31"/>
    <w:pPr>
      <w:spacing w:before="160"/>
      <w:jc w:val="center"/>
    </w:pPr>
    <w:rPr>
      <w:i/>
      <w:iCs/>
      <w:color w:val="404040" w:themeColor="text1" w:themeTint="BF"/>
    </w:rPr>
  </w:style>
  <w:style w:type="character" w:customStyle="1" w:styleId="QuoteChar">
    <w:name w:val="Quote Char"/>
    <w:basedOn w:val="DefaultParagraphFont"/>
    <w:link w:val="Quote"/>
    <w:uiPriority w:val="29"/>
    <w:rsid w:val="00AB7E31"/>
    <w:rPr>
      <w:i/>
      <w:iCs/>
      <w:color w:val="404040" w:themeColor="text1" w:themeTint="BF"/>
    </w:rPr>
  </w:style>
  <w:style w:type="paragraph" w:styleId="ListParagraph">
    <w:name w:val="List Paragraph"/>
    <w:basedOn w:val="Normal"/>
    <w:uiPriority w:val="34"/>
    <w:qFormat/>
    <w:rsid w:val="00AB7E31"/>
    <w:pPr>
      <w:ind w:left="720"/>
      <w:contextualSpacing/>
    </w:pPr>
  </w:style>
  <w:style w:type="character" w:styleId="IntenseEmphasis">
    <w:name w:val="Intense Emphasis"/>
    <w:basedOn w:val="DefaultParagraphFont"/>
    <w:uiPriority w:val="21"/>
    <w:qFormat/>
    <w:rsid w:val="00AB7E31"/>
    <w:rPr>
      <w:i/>
      <w:iCs/>
      <w:color w:val="0F4761" w:themeColor="accent1" w:themeShade="BF"/>
    </w:rPr>
  </w:style>
  <w:style w:type="paragraph" w:styleId="IntenseQuote">
    <w:name w:val="Intense Quote"/>
    <w:basedOn w:val="Normal"/>
    <w:next w:val="Normal"/>
    <w:link w:val="IntenseQuoteChar"/>
    <w:uiPriority w:val="30"/>
    <w:qFormat/>
    <w:rsid w:val="00AB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E31"/>
    <w:rPr>
      <w:i/>
      <w:iCs/>
      <w:color w:val="0F4761" w:themeColor="accent1" w:themeShade="BF"/>
    </w:rPr>
  </w:style>
  <w:style w:type="character" w:styleId="IntenseReference">
    <w:name w:val="Intense Reference"/>
    <w:basedOn w:val="DefaultParagraphFont"/>
    <w:uiPriority w:val="32"/>
    <w:qFormat/>
    <w:rsid w:val="00AB7E31"/>
    <w:rPr>
      <w:b/>
      <w:bCs/>
      <w:smallCaps/>
      <w:color w:val="0F4761" w:themeColor="accent1" w:themeShade="BF"/>
      <w:spacing w:val="5"/>
    </w:rPr>
  </w:style>
  <w:style w:type="character" w:styleId="Hyperlink">
    <w:name w:val="Hyperlink"/>
    <w:basedOn w:val="DefaultParagraphFont"/>
    <w:uiPriority w:val="99"/>
    <w:unhideWhenUsed/>
    <w:rsid w:val="00EE2836"/>
    <w:rPr>
      <w:color w:val="467886" w:themeColor="hyperlink"/>
      <w:u w:val="single"/>
    </w:rPr>
  </w:style>
  <w:style w:type="character" w:styleId="UnresolvedMention">
    <w:name w:val="Unresolved Mention"/>
    <w:basedOn w:val="DefaultParagraphFont"/>
    <w:uiPriority w:val="99"/>
    <w:semiHidden/>
    <w:unhideWhenUsed/>
    <w:rsid w:val="00EE2836"/>
    <w:rPr>
      <w:color w:val="605E5C"/>
      <w:shd w:val="clear" w:color="auto" w:fill="E1DFDD"/>
    </w:rPr>
  </w:style>
  <w:style w:type="character" w:styleId="FollowedHyperlink">
    <w:name w:val="FollowedHyperlink"/>
    <w:basedOn w:val="DefaultParagraphFont"/>
    <w:uiPriority w:val="99"/>
    <w:semiHidden/>
    <w:unhideWhenUsed/>
    <w:rsid w:val="00EE28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misaesolar.com/misae-solar-park-2"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hart" Target="charts/chart1.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hyperlink" Target="https://www.chron.com/news/article/texas-california-battery-storage-power-19766688.php"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customXml" Target="ink/ink1.xml"/><Relationship Id="rId9" Type="http://schemas.openxmlformats.org/officeDocument/2006/relationships/image" Target="media/image4.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b8a12b33777290a/Desktop/Fin%20tools/Miners-Brocks-Laptop.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Iren BTC Mined vs Power Cost </a:t>
            </a:r>
            <a:r>
              <a:rPr lang="en-US" baseline="0"/>
              <a:t>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'Iren Electricity Charges'!$E$1</c:f>
              <c:strCache>
                <c:ptCount val="1"/>
                <c:pt idx="0">
                  <c:v>Approx Electric Price (KWh)</c:v>
                </c:pt>
              </c:strCache>
            </c:strRef>
          </c:tx>
          <c:spPr>
            <a:ln w="28575" cap="rnd">
              <a:solidFill>
                <a:schemeClr val="accent2"/>
              </a:solidFill>
              <a:round/>
            </a:ln>
            <a:effectLst/>
          </c:spPr>
          <c:marker>
            <c:symbol val="none"/>
          </c:marker>
          <c:cat>
            <c:strRef>
              <c:f>'Iren Electricity Charges'!$A$2:$A$13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'Iren Electricity Charges'!$E$2:$E$13</c:f>
              <c:numCache>
                <c:formatCode>_("$"* #,##0.0000_);_("$"* \(#,##0.0000\);_("$"* "-"??_);_(@_)</c:formatCode>
                <c:ptCount val="12"/>
                <c:pt idx="0">
                  <c:v>5.2551289662906522E-2</c:v>
                </c:pt>
                <c:pt idx="1">
                  <c:v>4.8209430231121002E-2</c:v>
                </c:pt>
                <c:pt idx="2">
                  <c:v>4.9434794596084922E-2</c:v>
                </c:pt>
                <c:pt idx="3">
                  <c:v>4.2778592375366568E-2</c:v>
                </c:pt>
                <c:pt idx="4">
                  <c:v>4.4622563161115479E-2</c:v>
                </c:pt>
                <c:pt idx="5">
                  <c:v>5.0173747705218985E-2</c:v>
                </c:pt>
                <c:pt idx="6">
                  <c:v>7.6261544639271844E-2</c:v>
                </c:pt>
                <c:pt idx="7">
                  <c:v>4.0109493836873851E-2</c:v>
                </c:pt>
                <c:pt idx="8">
                  <c:v>3.800519095291064E-2</c:v>
                </c:pt>
                <c:pt idx="9">
                  <c:v>3.0988649940262843E-2</c:v>
                </c:pt>
                <c:pt idx="10">
                  <c:v>3.2108721624850657E-2</c:v>
                </c:pt>
                <c:pt idx="11">
                  <c:v>3.1889099725911869E-2</c:v>
                </c:pt>
              </c:numCache>
            </c:numRef>
          </c:val>
          <c:smooth val="0"/>
          <c:extLst>
            <c:ext xmlns:c16="http://schemas.microsoft.com/office/drawing/2014/chart" uri="{C3380CC4-5D6E-409C-BE32-E72D297353CC}">
              <c16:uniqueId val="{00000000-EF56-4CC5-ADA5-892C925F934E}"/>
            </c:ext>
          </c:extLst>
        </c:ser>
        <c:dLbls>
          <c:showLegendKey val="0"/>
          <c:showVal val="0"/>
          <c:showCatName val="0"/>
          <c:showSerName val="0"/>
          <c:showPercent val="0"/>
          <c:showBubbleSize val="0"/>
        </c:dLbls>
        <c:marker val="1"/>
        <c:smooth val="0"/>
        <c:axId val="1034074224"/>
        <c:axId val="1034080944"/>
      </c:lineChart>
      <c:lineChart>
        <c:grouping val="standard"/>
        <c:varyColors val="0"/>
        <c:ser>
          <c:idx val="0"/>
          <c:order val="0"/>
          <c:tx>
            <c:strRef>
              <c:f>'Iren Electricity Charges'!$D$1</c:f>
              <c:strCache>
                <c:ptCount val="1"/>
                <c:pt idx="0">
                  <c:v>BTC Mined</c:v>
                </c:pt>
              </c:strCache>
            </c:strRef>
          </c:tx>
          <c:spPr>
            <a:ln w="28575" cap="rnd">
              <a:solidFill>
                <a:schemeClr val="accent1"/>
              </a:solidFill>
              <a:round/>
            </a:ln>
            <a:effectLst/>
          </c:spPr>
          <c:marker>
            <c:symbol val="none"/>
          </c:marker>
          <c:cat>
            <c:strRef>
              <c:f>'Iren Electricity Charges'!$A$2:$A$13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'Iren Electricity Charges'!$D$2:$D$13</c:f>
              <c:numCache>
                <c:formatCode>General</c:formatCode>
                <c:ptCount val="12"/>
                <c:pt idx="0">
                  <c:v>341</c:v>
                </c:pt>
                <c:pt idx="1">
                  <c:v>310</c:v>
                </c:pt>
                <c:pt idx="2">
                  <c:v>353</c:v>
                </c:pt>
                <c:pt idx="3">
                  <c:v>358</c:v>
                </c:pt>
                <c:pt idx="4">
                  <c:v>230</c:v>
                </c:pt>
                <c:pt idx="5">
                  <c:v>233</c:v>
                </c:pt>
                <c:pt idx="6">
                  <c:v>222</c:v>
                </c:pt>
                <c:pt idx="7">
                  <c:v>245</c:v>
                </c:pt>
                <c:pt idx="8">
                  <c:v>347</c:v>
                </c:pt>
                <c:pt idx="9">
                  <c:v>439</c:v>
                </c:pt>
                <c:pt idx="10">
                  <c:v>379</c:v>
                </c:pt>
                <c:pt idx="11">
                  <c:v>529</c:v>
                </c:pt>
              </c:numCache>
            </c:numRef>
          </c:val>
          <c:smooth val="0"/>
          <c:extLst>
            <c:ext xmlns:c16="http://schemas.microsoft.com/office/drawing/2014/chart" uri="{C3380CC4-5D6E-409C-BE32-E72D297353CC}">
              <c16:uniqueId val="{00000001-EF56-4CC5-ADA5-892C925F934E}"/>
            </c:ext>
          </c:extLst>
        </c:ser>
        <c:dLbls>
          <c:showLegendKey val="0"/>
          <c:showVal val="0"/>
          <c:showCatName val="0"/>
          <c:showSerName val="0"/>
          <c:showPercent val="0"/>
          <c:showBubbleSize val="0"/>
        </c:dLbls>
        <c:marker val="1"/>
        <c:smooth val="0"/>
        <c:axId val="1034082864"/>
        <c:axId val="1034085744"/>
      </c:lineChart>
      <c:catAx>
        <c:axId val="1034074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080944"/>
        <c:crosses val="autoZero"/>
        <c:auto val="1"/>
        <c:lblAlgn val="ctr"/>
        <c:lblOffset val="100"/>
        <c:noMultiLvlLbl val="0"/>
      </c:catAx>
      <c:valAx>
        <c:axId val="1034080944"/>
        <c:scaling>
          <c:orientation val="minMax"/>
          <c:min val="2.0000000000000004E-2"/>
        </c:scaling>
        <c:delete val="0"/>
        <c:axPos val="l"/>
        <c:majorGridlines>
          <c:spPr>
            <a:ln w="9525" cap="flat" cmpd="sng" algn="ctr">
              <a:solidFill>
                <a:schemeClr val="tx1">
                  <a:lumMod val="15000"/>
                  <a:lumOff val="85000"/>
                </a:schemeClr>
              </a:solidFill>
              <a:round/>
            </a:ln>
            <a:effectLst/>
          </c:spPr>
        </c:majorGridlines>
        <c:numFmt formatCode="&quot;$&quot;#,##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074224"/>
        <c:crosses val="autoZero"/>
        <c:crossBetween val="between"/>
      </c:valAx>
      <c:valAx>
        <c:axId val="103408574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082864"/>
        <c:crosses val="max"/>
        <c:crossBetween val="between"/>
      </c:valAx>
      <c:catAx>
        <c:axId val="1034082864"/>
        <c:scaling>
          <c:orientation val="minMax"/>
        </c:scaling>
        <c:delete val="1"/>
        <c:axPos val="b"/>
        <c:numFmt formatCode="General" sourceLinked="1"/>
        <c:majorTickMark val="out"/>
        <c:minorTickMark val="none"/>
        <c:tickLblPos val="nextTo"/>
        <c:crossAx val="103408574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1T21:24:04.607"/>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0,'784'0,"-766"0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1T21:24:02.057"/>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0,'865'0,"-848"1,0 1,29 6,26 3,-55-11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1891</TotalTime>
  <Pages>5</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Fassnacht</dc:creator>
  <cp:keywords/>
  <dc:description/>
  <cp:lastModifiedBy>Brock Fassnacht</cp:lastModifiedBy>
  <cp:revision>179</cp:revision>
  <dcterms:created xsi:type="dcterms:W3CDTF">2025-01-11T20:59:00Z</dcterms:created>
  <dcterms:modified xsi:type="dcterms:W3CDTF">2025-01-13T04:30:00Z</dcterms:modified>
</cp:coreProperties>
</file>