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E3CE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E3CE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E3CE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E3CE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E3CE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E3CE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E3CE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E3CE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E3CE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E3CE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E3CE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E3CE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E3CE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782BE4E" w:rsidR="00B66AF3" w:rsidRDefault="00962C11" w:rsidP="00B66AF3">
          <w:r>
            <w:t>4.5.1 Adjusted gender parity index for completion rate, by sex, location, wealth quintile and education level [4.5.1] (SE_AGP_CPRA)</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30AAF13E"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48E174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36076A4" w:rsidR="005377B9" w:rsidRPr="00DE7CEF" w:rsidRDefault="00FD42A4" w:rsidP="00FD42A4">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4.5 </w:t>
            </w:r>
            <w:r w:rsidRPr="00FD42A4">
              <w:rPr>
                <w:rFonts w:asciiTheme="majorBidi" w:hAnsiTheme="majorBidi" w:cstheme="majorBidi"/>
                <w:color w:val="000000"/>
                <w:sz w:val="22"/>
                <w:szCs w:val="22"/>
                <w:shd w:val="clear" w:color="auto" w:fill="FFFFFF"/>
              </w:rPr>
              <w:t>By 2030, eliminate gender disparities in education and ensure equal access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894BC8A" w:rsidR="005377B9" w:rsidRPr="00030DBC" w:rsidRDefault="00FD42A4" w:rsidP="00DA382D">
            <w:pPr>
              <w:rPr>
                <w:rFonts w:asciiTheme="majorBidi" w:hAnsiTheme="majorBidi" w:cstheme="majorBidi"/>
              </w:rPr>
            </w:pPr>
            <w:r>
              <w:rPr>
                <w:rFonts w:asciiTheme="majorBidi" w:hAnsiTheme="majorBidi" w:cstheme="majorBidi"/>
                <w:color w:val="333333"/>
              </w:rPr>
              <w:t>4.5</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D27FB6" w:rsidRPr="00D27FB6">
              <w:rPr>
                <w:rFonts w:asciiTheme="majorBidi" w:hAnsiTheme="majorBidi" w:cstheme="majorBidi"/>
                <w:color w:val="333333"/>
              </w:rPr>
              <w:t xml:space="preserve">Parity indices (female/male, rural/urban, bottom/top wealth quintile and others such as disability status, indigenous </w:t>
            </w:r>
            <w:r w:rsidR="00D27FB6" w:rsidRPr="00D27FB6">
              <w:rPr>
                <w:rFonts w:asciiTheme="majorBidi" w:hAnsiTheme="majorBidi" w:cstheme="majorBidi"/>
                <w:color w:val="333333"/>
              </w:rPr>
              <w:lastRenderedPageBreak/>
              <w:t>peoples and conflict-affected, as data become available) for all education indicators on this list that can be disaggregated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9927557" w14:textId="47120099" w:rsidR="00DA382D" w:rsidRDefault="00E63981"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962C11">
              <w:rPr>
                <w:rFonts w:asciiTheme="majorBidi" w:hAnsiTheme="majorBidi" w:cstheme="majorBidi"/>
                <w:color w:val="auto"/>
                <w:sz w:val="22"/>
                <w:szCs w:val="22"/>
              </w:rPr>
              <w:t xml:space="preserve"> i</w:t>
            </w:r>
            <w:r w:rsidR="002E71C8">
              <w:rPr>
                <w:rFonts w:asciiTheme="majorBidi" w:hAnsiTheme="majorBidi" w:cstheme="majorBidi"/>
                <w:color w:val="auto"/>
                <w:sz w:val="22"/>
                <w:szCs w:val="22"/>
              </w:rPr>
              <w:t>ndicator shows n</w:t>
            </w:r>
            <w:r w:rsidR="002E71C8" w:rsidRPr="002E71C8">
              <w:rPr>
                <w:rFonts w:asciiTheme="majorBidi" w:hAnsiTheme="majorBidi" w:cstheme="majorBidi"/>
                <w:color w:val="auto"/>
                <w:sz w:val="22"/>
                <w:szCs w:val="22"/>
              </w:rPr>
              <w:t>et attendance ratio (adjusted) for girls divided by net attendance ratio (adjusted) for boys</w:t>
            </w:r>
            <w:r w:rsidR="000F15A8">
              <w:rPr>
                <w:rFonts w:asciiTheme="majorBidi" w:hAnsiTheme="majorBidi" w:cstheme="majorBidi"/>
                <w:color w:val="auto"/>
                <w:sz w:val="22"/>
                <w:szCs w:val="22"/>
              </w:rPr>
              <w:t xml:space="preserve"> for area</w:t>
            </w:r>
            <w:r w:rsidR="0098674C">
              <w:rPr>
                <w:rFonts w:asciiTheme="majorBidi" w:hAnsiTheme="majorBidi" w:cstheme="majorBidi"/>
                <w:color w:val="auto"/>
                <w:sz w:val="22"/>
                <w:szCs w:val="22"/>
              </w:rPr>
              <w:t xml:space="preserve"> parity index</w:t>
            </w:r>
            <w:r w:rsidR="005D455F">
              <w:rPr>
                <w:rFonts w:asciiTheme="majorBidi" w:hAnsiTheme="majorBidi" w:cstheme="majorBidi"/>
                <w:color w:val="auto"/>
                <w:sz w:val="22"/>
                <w:szCs w:val="22"/>
              </w:rPr>
              <w:t xml:space="preserve"> for grade:</w:t>
            </w:r>
          </w:p>
          <w:p w14:paraId="31BE7BA5" w14:textId="77777777" w:rsidR="005D455F" w:rsidRDefault="005D455F" w:rsidP="005D455F">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Lower basic school (grade 1-5) </w:t>
            </w:r>
          </w:p>
          <w:p w14:paraId="739A4314" w14:textId="77777777" w:rsidR="005D455F" w:rsidRDefault="005D455F" w:rsidP="005D455F">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Upper basic school (grade 6-8) </w:t>
            </w:r>
          </w:p>
          <w:p w14:paraId="1A9F0283" w14:textId="6EF67025" w:rsidR="005D455F" w:rsidRPr="005D455F" w:rsidRDefault="005D455F" w:rsidP="00DA382D">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Secondary school (grade 9-12) </w:t>
            </w:r>
          </w:p>
          <w:p w14:paraId="0374B616" w14:textId="23093A44" w:rsidR="002E71C8" w:rsidRDefault="002E71C8" w:rsidP="00DA382D">
            <w:pPr>
              <w:pStyle w:val="MText"/>
              <w:rPr>
                <w:rFonts w:asciiTheme="majorBidi" w:hAnsiTheme="majorBidi" w:cstheme="majorBidi"/>
                <w:color w:val="auto"/>
                <w:sz w:val="22"/>
                <w:szCs w:val="22"/>
              </w:rPr>
            </w:pPr>
          </w:p>
          <w:p w14:paraId="6C84E827" w14:textId="22EABCA6" w:rsidR="00DA382D" w:rsidRPr="00783DEF" w:rsidRDefault="002E71C8" w:rsidP="00DA382D">
            <w:pPr>
              <w:pStyle w:val="MText"/>
              <w:rPr>
                <w:rFonts w:asciiTheme="majorBidi" w:hAnsiTheme="majorBidi" w:cstheme="majorBidi"/>
                <w:color w:val="auto"/>
                <w:sz w:val="22"/>
                <w:szCs w:val="22"/>
              </w:rPr>
            </w:pPr>
            <w:r w:rsidRPr="002E71C8">
              <w:rPr>
                <w:rFonts w:asciiTheme="majorBidi" w:hAnsiTheme="majorBidi" w:cstheme="majorBidi"/>
                <w:color w:val="auto"/>
                <w:sz w:val="22"/>
                <w:szCs w:val="22"/>
              </w:rPr>
              <w:t>Parity indices require data for the specific groups of interest. They represent the ratio of the indicator value for one group to that of the other. Typically, the likely more disadvantaged group is placed in the numerator. A value of exactly 1 indicates parity between the two groups.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9BC69F" w:rsidR="0015178E" w:rsidRPr="002919C5" w:rsidRDefault="004C6FFB" w:rsidP="001F6EB5">
            <w:pPr>
              <w:rPr>
                <w:rFonts w:asciiTheme="majorBidi" w:hAnsiTheme="majorBidi" w:cstheme="majorBidi"/>
              </w:rPr>
            </w:pPr>
            <w:r>
              <w:rPr>
                <w:rFonts w:asciiTheme="majorBidi" w:hAnsiTheme="majorBidi" w:cstheme="majorBidi"/>
              </w:rPr>
              <w:t>Index</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4E3CEC">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9CAA8C5" w:rsidR="0035311B" w:rsidRPr="009F305C" w:rsidRDefault="00264406" w:rsidP="009F305C">
            <w:r w:rsidRPr="004E3CEC">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D97C078" w:rsidR="007F2D9F" w:rsidRPr="00F54923" w:rsidRDefault="003428CD" w:rsidP="00CC5D24">
            <w:pPr>
              <w:pStyle w:val="MText"/>
              <w:rPr>
                <w:rFonts w:asciiTheme="majorBidi" w:hAnsiTheme="majorBidi" w:cstheme="majorBidi"/>
                <w:sz w:val="22"/>
                <w:szCs w:val="22"/>
              </w:rPr>
            </w:pPr>
            <w:r w:rsidRPr="003428CD">
              <w:rPr>
                <w:rFonts w:asciiTheme="majorBidi" w:hAnsiTheme="majorBidi" w:cstheme="majorBidi"/>
                <w:sz w:val="22"/>
                <w:szCs w:val="22"/>
              </w:rPr>
              <w:t>To measure the general level of disparity between two sub-populations of interest with regard to a given indicator. The further from 1 the parity index lies, the greater the disparity between the two groups of interest.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9D9841"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02AC8D" w14:textId="2C6964CA" w:rsidR="00B40D23" w:rsidRDefault="003428CD" w:rsidP="003428CD">
            <w:pPr>
              <w:rPr>
                <w:rFonts w:asciiTheme="majorBidi" w:hAnsiTheme="majorBidi" w:cstheme="majorBidi"/>
              </w:rPr>
            </w:pPr>
            <w:r>
              <w:rPr>
                <w:rFonts w:asciiTheme="majorBidi" w:hAnsiTheme="majorBidi" w:cstheme="majorBidi"/>
              </w:rPr>
              <w:t>The</w:t>
            </w:r>
            <w:r w:rsidRPr="003428CD">
              <w:rPr>
                <w:rFonts w:asciiTheme="majorBidi" w:hAnsiTheme="majorBidi" w:cstheme="majorBidi"/>
              </w:rPr>
              <w:t xml:space="preserve"> calculation for ANAR parity indices is presented</w:t>
            </w:r>
            <w:r>
              <w:rPr>
                <w:rFonts w:asciiTheme="majorBidi" w:hAnsiTheme="majorBidi" w:cstheme="majorBidi"/>
              </w:rPr>
              <w:t xml:space="preserve"> </w:t>
            </w:r>
            <w:r w:rsidRPr="003428CD">
              <w:rPr>
                <w:rFonts w:asciiTheme="majorBidi" w:hAnsiTheme="majorBidi" w:cstheme="majorBidi"/>
              </w:rPr>
              <w:t>below. Usually, group 1 is presumed to have the lowest</w:t>
            </w:r>
            <w:r>
              <w:rPr>
                <w:rFonts w:asciiTheme="majorBidi" w:hAnsiTheme="majorBidi" w:cstheme="majorBidi"/>
              </w:rPr>
              <w:t xml:space="preserve"> </w:t>
            </w:r>
            <w:r w:rsidRPr="003428CD">
              <w:rPr>
                <w:rFonts w:asciiTheme="majorBidi" w:hAnsiTheme="majorBidi" w:cstheme="majorBidi"/>
              </w:rPr>
              <w:t>ANAR and group 2 to have the highest, but it is not always</w:t>
            </w:r>
            <w:r>
              <w:rPr>
                <w:rFonts w:asciiTheme="majorBidi" w:hAnsiTheme="majorBidi" w:cstheme="majorBidi"/>
              </w:rPr>
              <w:t xml:space="preserve"> </w:t>
            </w:r>
            <w:r w:rsidR="006E2E30">
              <w:rPr>
                <w:rFonts w:asciiTheme="majorBidi" w:hAnsiTheme="majorBidi" w:cstheme="majorBidi"/>
              </w:rPr>
              <w:t xml:space="preserve">the case. </w:t>
            </w:r>
            <w:r w:rsidRPr="003428CD">
              <w:rPr>
                <w:rFonts w:asciiTheme="majorBidi" w:hAnsiTheme="majorBidi" w:cstheme="majorBidi"/>
              </w:rPr>
              <w:t>The</w:t>
            </w:r>
            <w:r>
              <w:rPr>
                <w:rFonts w:asciiTheme="majorBidi" w:hAnsiTheme="majorBidi" w:cstheme="majorBidi"/>
              </w:rPr>
              <w:t xml:space="preserve"> </w:t>
            </w:r>
            <w:r w:rsidRPr="003428CD">
              <w:rPr>
                <w:rFonts w:asciiTheme="majorBidi" w:hAnsiTheme="majorBidi" w:cstheme="majorBidi"/>
              </w:rPr>
              <w:t>following formula is used</w:t>
            </w:r>
            <w:r w:rsidR="000F15A8">
              <w:rPr>
                <w:rFonts w:asciiTheme="majorBidi" w:hAnsiTheme="majorBidi" w:cstheme="majorBidi"/>
              </w:rPr>
              <w:t xml:space="preserve"> for calculation of area</w:t>
            </w:r>
            <w:r w:rsidR="006E2E30">
              <w:rPr>
                <w:rFonts w:asciiTheme="majorBidi" w:hAnsiTheme="majorBidi" w:cstheme="majorBidi"/>
              </w:rPr>
              <w:t xml:space="preserve"> parity</w:t>
            </w:r>
            <w:r w:rsidRPr="003428CD">
              <w:rPr>
                <w:rFonts w:asciiTheme="majorBidi" w:hAnsiTheme="majorBidi" w:cstheme="majorBidi"/>
              </w:rPr>
              <w:t>:</w:t>
            </w:r>
          </w:p>
          <w:p w14:paraId="3797CDCD" w14:textId="77777777" w:rsidR="003428CD" w:rsidRPr="003428CD" w:rsidRDefault="004E3CEC" w:rsidP="003428CD">
            <w:pPr>
              <w:rPr>
                <w:rFonts w:asciiTheme="majorBidi" w:eastAsiaTheme="minorEastAsia" w:hAnsiTheme="majorBidi" w:cstheme="majorBidi"/>
              </w:rPr>
            </w:pPr>
            <m:oMathPara>
              <m:oMath>
                <m:sSub>
                  <m:sSubPr>
                    <m:ctrlPr>
                      <w:rPr>
                        <w:rFonts w:ascii="Cambria Math" w:hAnsi="Cambria Math" w:cstheme="majorBidi"/>
                        <w:i/>
                      </w:rPr>
                    </m:ctrlPr>
                  </m:sSubPr>
                  <m:e>
                    <m:r>
                      <w:rPr>
                        <w:rFonts w:ascii="Cambria Math" w:hAnsi="Cambria Math" w:cstheme="majorBidi"/>
                      </w:rPr>
                      <m:t>PR</m:t>
                    </m:r>
                  </m:e>
                  <m:sub>
                    <m:f>
                      <m:fPr>
                        <m:ctrlPr>
                          <w:rPr>
                            <w:rFonts w:ascii="Cambria Math" w:hAnsi="Cambria Math" w:cstheme="majorBidi"/>
                            <w:i/>
                          </w:rPr>
                        </m:ctrlPr>
                      </m:fPr>
                      <m:num>
                        <m:r>
                          <w:rPr>
                            <w:rFonts w:ascii="Cambria Math" w:hAnsi="Cambria Math" w:cstheme="majorBidi"/>
                          </w:rPr>
                          <m:t>g1</m:t>
                        </m:r>
                      </m:num>
                      <m:den>
                        <m:r>
                          <w:rPr>
                            <w:rFonts w:ascii="Cambria Math" w:hAnsi="Cambria Math" w:cstheme="majorBidi"/>
                          </w:rPr>
                          <m:t>g2</m:t>
                        </m:r>
                      </m:den>
                    </m:f>
                    <m:r>
                      <w:rPr>
                        <w:rFonts w:ascii="Cambria Math" w:hAnsi="Cambria Math" w:cstheme="majorBidi"/>
                      </w:rPr>
                      <m:t>=</m:t>
                    </m:r>
                    <m:f>
                      <m:fPr>
                        <m:ctrlPr>
                          <w:rPr>
                            <w:rFonts w:ascii="Cambria Math" w:hAnsi="Cambria Math" w:cstheme="majorBidi"/>
                            <w:i/>
                          </w:rPr>
                        </m:ctrlPr>
                      </m:fPr>
                      <m:num>
                        <m:sSub>
                          <m:sSubPr>
                            <m:ctrlPr>
                              <w:rPr>
                                <w:rFonts w:ascii="Cambria Math" w:hAnsi="Cambria Math" w:cstheme="majorBidi"/>
                                <w:i/>
                              </w:rPr>
                            </m:ctrlPr>
                          </m:sSubPr>
                          <m:e>
                            <m:r>
                              <w:rPr>
                                <w:rFonts w:ascii="Cambria Math" w:hAnsi="Cambria Math" w:cstheme="majorBidi"/>
                              </w:rPr>
                              <m:t>ANAR</m:t>
                            </m:r>
                          </m:e>
                          <m:sub>
                            <m:r>
                              <w:rPr>
                                <w:rFonts w:ascii="Cambria Math" w:hAnsi="Cambria Math" w:cstheme="majorBidi"/>
                              </w:rPr>
                              <m:t>g1</m:t>
                            </m:r>
                          </m:sub>
                        </m:sSub>
                      </m:num>
                      <m:den>
                        <m:sSub>
                          <m:sSubPr>
                            <m:ctrlPr>
                              <w:rPr>
                                <w:rFonts w:ascii="Cambria Math" w:hAnsi="Cambria Math" w:cstheme="majorBidi"/>
                                <w:i/>
                              </w:rPr>
                            </m:ctrlPr>
                          </m:sSubPr>
                          <m:e>
                            <m:r>
                              <w:rPr>
                                <w:rFonts w:ascii="Cambria Math" w:hAnsi="Cambria Math" w:cstheme="majorBidi"/>
                              </w:rPr>
                              <m:t>ANAR</m:t>
                            </m:r>
                          </m:e>
                          <m:sub>
                            <m:r>
                              <w:rPr>
                                <w:rFonts w:ascii="Cambria Math" w:hAnsi="Cambria Math" w:cstheme="majorBidi"/>
                              </w:rPr>
                              <m:t>g2</m:t>
                            </m:r>
                          </m:sub>
                        </m:sSub>
                      </m:den>
                    </m:f>
                  </m:sub>
                </m:sSub>
              </m:oMath>
            </m:oMathPara>
          </w:p>
          <w:p w14:paraId="7650A22D" w14:textId="77777777" w:rsidR="003428CD" w:rsidRPr="003428CD" w:rsidRDefault="003428CD" w:rsidP="003428CD">
            <w:pPr>
              <w:rPr>
                <w:rFonts w:asciiTheme="majorBidi" w:hAnsiTheme="majorBidi" w:cstheme="majorBidi"/>
              </w:rPr>
            </w:pPr>
            <w:r w:rsidRPr="003428CD">
              <w:rPr>
                <w:rFonts w:asciiTheme="majorBidi" w:hAnsiTheme="majorBidi" w:cstheme="majorBidi"/>
              </w:rPr>
              <w:t>Where:</w:t>
            </w:r>
          </w:p>
          <w:p w14:paraId="0E6A87B2" w14:textId="3AC4EC34" w:rsidR="003428CD" w:rsidRPr="003428CD" w:rsidRDefault="003428CD" w:rsidP="003428CD">
            <w:pPr>
              <w:rPr>
                <w:rFonts w:asciiTheme="majorBidi" w:hAnsiTheme="majorBidi" w:cstheme="majorBidi"/>
              </w:rPr>
            </w:pPr>
            <w:r>
              <w:rPr>
                <w:rFonts w:asciiTheme="majorBidi" w:hAnsiTheme="majorBidi" w:cstheme="majorBidi"/>
              </w:rPr>
              <w:t>PR</w:t>
            </w:r>
            <w:r>
              <w:rPr>
                <w:rFonts w:asciiTheme="majorBidi" w:hAnsiTheme="majorBidi" w:cstheme="majorBidi"/>
                <w:vertAlign w:val="subscript"/>
              </w:rPr>
              <w:t>g1/g2</w:t>
            </w:r>
            <w:r w:rsidRPr="003428CD">
              <w:rPr>
                <w:rFonts w:asciiTheme="majorBidi" w:hAnsiTheme="majorBidi" w:cstheme="majorBidi"/>
              </w:rPr>
              <w:t>= parity ratio of group 1 to group 2</w:t>
            </w:r>
          </w:p>
          <w:p w14:paraId="27E46825" w14:textId="5810024E" w:rsidR="003428CD" w:rsidRPr="003428CD" w:rsidRDefault="003428CD" w:rsidP="003428CD">
            <w:pPr>
              <w:rPr>
                <w:rFonts w:asciiTheme="majorBidi" w:hAnsiTheme="majorBidi" w:cstheme="majorBidi"/>
              </w:rPr>
            </w:pPr>
            <w:r>
              <w:rPr>
                <w:rFonts w:asciiTheme="majorBidi" w:hAnsiTheme="majorBidi" w:cstheme="majorBidi"/>
              </w:rPr>
              <w:t>ANAR</w:t>
            </w:r>
            <w:r>
              <w:rPr>
                <w:rFonts w:asciiTheme="majorBidi" w:hAnsiTheme="majorBidi" w:cstheme="majorBidi"/>
                <w:vertAlign w:val="subscript"/>
              </w:rPr>
              <w:t>g1</w:t>
            </w:r>
            <w:r w:rsidRPr="003428CD">
              <w:rPr>
                <w:rFonts w:asciiTheme="majorBidi" w:hAnsiTheme="majorBidi" w:cstheme="majorBidi"/>
              </w:rPr>
              <w:t>= ANAR of group 1</w:t>
            </w:r>
          </w:p>
          <w:p w14:paraId="6FD39519" w14:textId="77777777" w:rsidR="003428CD" w:rsidRDefault="003428CD" w:rsidP="003428CD">
            <w:pPr>
              <w:rPr>
                <w:rFonts w:asciiTheme="majorBidi" w:hAnsiTheme="majorBidi" w:cstheme="majorBidi"/>
              </w:rPr>
            </w:pPr>
            <w:r>
              <w:rPr>
                <w:rFonts w:asciiTheme="majorBidi" w:hAnsiTheme="majorBidi" w:cstheme="majorBidi"/>
              </w:rPr>
              <w:t>ANAR</w:t>
            </w:r>
            <w:r>
              <w:rPr>
                <w:rFonts w:asciiTheme="majorBidi" w:hAnsiTheme="majorBidi" w:cstheme="majorBidi"/>
                <w:vertAlign w:val="subscript"/>
              </w:rPr>
              <w:t>g2</w:t>
            </w:r>
            <w:r w:rsidRPr="003428CD">
              <w:rPr>
                <w:rFonts w:asciiTheme="majorBidi" w:hAnsiTheme="majorBidi" w:cstheme="majorBidi"/>
              </w:rPr>
              <w:t>= ANAR of group 2</w:t>
            </w:r>
          </w:p>
          <w:p w14:paraId="5A53B8A7" w14:textId="735CFDDA" w:rsidR="004C6FFB" w:rsidRPr="00805865" w:rsidRDefault="004C6FFB" w:rsidP="004C6FFB">
            <w:pPr>
              <w:rPr>
                <w:rFonts w:asciiTheme="majorBidi" w:hAnsiTheme="majorBidi" w:cstheme="majorBidi"/>
              </w:rPr>
            </w:pPr>
            <w:r w:rsidRPr="004C6FFB">
              <w:rPr>
                <w:rFonts w:asciiTheme="majorBidi" w:hAnsiTheme="majorBidi" w:cstheme="majorBidi"/>
              </w:rPr>
              <w:t>Generally, when an index value falls between 0.97 and 1.03, it is regarded as parity between</w:t>
            </w:r>
            <w:r>
              <w:rPr>
                <w:rFonts w:asciiTheme="majorBidi" w:hAnsiTheme="majorBidi" w:cstheme="majorBidi"/>
              </w:rPr>
              <w:t xml:space="preserve"> </w:t>
            </w:r>
            <w:r w:rsidRPr="004C6FFB">
              <w:rPr>
                <w:rFonts w:asciiTheme="majorBidi" w:hAnsiTheme="majorBidi" w:cstheme="majorBidi"/>
              </w:rPr>
              <w:t>two groups. The further from 1.00 that a parity index lies, the greater the disparity between groups.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w:t>
            </w:r>
            <w:bookmarkStart w:id="25" w:name="_GoBack"/>
            <w:bookmarkEnd w:id="25"/>
            <w:r w:rsidRPr="00E161C5">
              <w:rPr>
                <w:rFonts w:asciiTheme="majorBidi" w:hAnsiTheme="majorBidi" w:cstheme="majorBidi"/>
                <w:color w:val="000000"/>
              </w:rPr>
              <w: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3428CD" w:rsidRDefault="003428CD" w:rsidP="006B0512">
      <w:pPr>
        <w:spacing w:after="0" w:line="240" w:lineRule="auto"/>
      </w:pPr>
      <w:r>
        <w:separator/>
      </w:r>
    </w:p>
  </w:endnote>
  <w:endnote w:type="continuationSeparator" w:id="0">
    <w:p w14:paraId="0652DDFD" w14:textId="77777777" w:rsidR="003428CD" w:rsidRDefault="003428C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1E6A2D9" w:rsidR="003428CD" w:rsidRDefault="003428CD">
        <w:pPr>
          <w:pStyle w:val="Footer"/>
          <w:jc w:val="right"/>
        </w:pPr>
        <w:r>
          <w:fldChar w:fldCharType="begin"/>
        </w:r>
        <w:r>
          <w:instrText xml:space="preserve"> PAGE   \* MERGEFORMAT </w:instrText>
        </w:r>
        <w:r>
          <w:fldChar w:fldCharType="separate"/>
        </w:r>
        <w:r w:rsidR="004E3CEC">
          <w:rPr>
            <w:noProof/>
          </w:rPr>
          <w:t>7</w:t>
        </w:r>
        <w:r>
          <w:rPr>
            <w:noProof/>
          </w:rPr>
          <w:fldChar w:fldCharType="end"/>
        </w:r>
      </w:p>
    </w:sdtContent>
  </w:sdt>
  <w:p w14:paraId="232AF3D4" w14:textId="77777777" w:rsidR="003428CD" w:rsidRDefault="003428C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C62A469" w:rsidR="003428CD" w:rsidRDefault="003428CD">
        <w:pPr>
          <w:pStyle w:val="Footer"/>
          <w:jc w:val="right"/>
        </w:pPr>
        <w:r>
          <w:fldChar w:fldCharType="begin"/>
        </w:r>
        <w:r>
          <w:instrText xml:space="preserve"> PAGE   \* MERGEFORMAT </w:instrText>
        </w:r>
        <w:r>
          <w:fldChar w:fldCharType="separate"/>
        </w:r>
        <w:r w:rsidR="004E3CEC">
          <w:rPr>
            <w:noProof/>
          </w:rPr>
          <w:t>1</w:t>
        </w:r>
        <w:r>
          <w:rPr>
            <w:noProof/>
          </w:rPr>
          <w:fldChar w:fldCharType="end"/>
        </w:r>
      </w:p>
    </w:sdtContent>
  </w:sdt>
  <w:p w14:paraId="52FF1B3E" w14:textId="77777777" w:rsidR="003428CD" w:rsidRDefault="003428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3428CD" w:rsidRDefault="003428CD" w:rsidP="006B0512">
      <w:pPr>
        <w:spacing w:after="0" w:line="240" w:lineRule="auto"/>
      </w:pPr>
      <w:r>
        <w:separator/>
      </w:r>
    </w:p>
  </w:footnote>
  <w:footnote w:type="continuationSeparator" w:id="0">
    <w:p w14:paraId="21AE062F" w14:textId="77777777" w:rsidR="003428CD" w:rsidRDefault="003428CD" w:rsidP="006B0512">
      <w:pPr>
        <w:spacing w:after="0" w:line="240" w:lineRule="auto"/>
      </w:pPr>
      <w:r>
        <w:continuationSeparator/>
      </w:r>
    </w:p>
  </w:footnote>
  <w:footnote w:id="1">
    <w:p w14:paraId="463C7A6C" w14:textId="3926C0D8" w:rsidR="003428CD" w:rsidRPr="00B8102F" w:rsidRDefault="003428C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81C10F1"/>
    <w:multiLevelType w:val="hybridMultilevel"/>
    <w:tmpl w:val="824E792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7"/>
  </w:num>
  <w:num w:numId="4">
    <w:abstractNumId w:val="4"/>
  </w:num>
  <w:num w:numId="5">
    <w:abstractNumId w:val="6"/>
  </w:num>
  <w:num w:numId="6">
    <w:abstractNumId w:val="2"/>
  </w:num>
  <w:num w:numId="7">
    <w:abstractNumId w:val="3"/>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105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15A8"/>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E71C8"/>
    <w:rsid w:val="002F0922"/>
    <w:rsid w:val="0031573B"/>
    <w:rsid w:val="0031646B"/>
    <w:rsid w:val="00316CFE"/>
    <w:rsid w:val="003218D9"/>
    <w:rsid w:val="00325D2B"/>
    <w:rsid w:val="00330891"/>
    <w:rsid w:val="0033413D"/>
    <w:rsid w:val="003428CD"/>
    <w:rsid w:val="00344199"/>
    <w:rsid w:val="003514F3"/>
    <w:rsid w:val="00352386"/>
    <w:rsid w:val="0035311B"/>
    <w:rsid w:val="0035385E"/>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C6FFB"/>
    <w:rsid w:val="004D6154"/>
    <w:rsid w:val="004D68B6"/>
    <w:rsid w:val="004E3CEC"/>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D455F"/>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B4907"/>
    <w:rsid w:val="006C075C"/>
    <w:rsid w:val="006C34FE"/>
    <w:rsid w:val="006C40A7"/>
    <w:rsid w:val="006C65C8"/>
    <w:rsid w:val="006C6768"/>
    <w:rsid w:val="006C7135"/>
    <w:rsid w:val="006C783E"/>
    <w:rsid w:val="006E1A7D"/>
    <w:rsid w:val="006E2E30"/>
    <w:rsid w:val="006E50EA"/>
    <w:rsid w:val="006F104C"/>
    <w:rsid w:val="006F17D3"/>
    <w:rsid w:val="006F2038"/>
    <w:rsid w:val="006F50E8"/>
    <w:rsid w:val="007100BD"/>
    <w:rsid w:val="00711E36"/>
    <w:rsid w:val="00734EE0"/>
    <w:rsid w:val="00736C17"/>
    <w:rsid w:val="00736C4F"/>
    <w:rsid w:val="00745001"/>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2C11"/>
    <w:rsid w:val="00964097"/>
    <w:rsid w:val="00970B70"/>
    <w:rsid w:val="00970E8E"/>
    <w:rsid w:val="00971FA7"/>
    <w:rsid w:val="00972E38"/>
    <w:rsid w:val="009739C8"/>
    <w:rsid w:val="00975BAF"/>
    <w:rsid w:val="0098674C"/>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27FB6"/>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42A4"/>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05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E3BA3"/>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B2A1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B2A1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96EEA77-EC3A-4BEB-BAA5-679D1FCE77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3379</TotalTime>
  <Pages>13</Pages>
  <Words>216589</Words>
  <Characters>1234560</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135</cp:revision>
  <cp:lastPrinted>2020-04-16T14:23:00Z</cp:lastPrinted>
  <dcterms:created xsi:type="dcterms:W3CDTF">2020-10-22T23:58:00Z</dcterms:created>
  <dcterms:modified xsi:type="dcterms:W3CDTF">2021-06-16T17:31:00Z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