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767B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767B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767B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767B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767B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767B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767B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767B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767B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767B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767B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767B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767B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2EE57B7B" w:rsidR="00B66AF3" w:rsidRDefault="00F767B3"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1335A83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F6F56CA"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22344AA" w14:textId="77777777" w:rsidR="00EE735E" w:rsidRDefault="00EE735E"/>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E0DF013" w14:textId="77777777" w:rsidR="00EE735E" w:rsidRDefault="00EE735E"/>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37D491A" w14:textId="77777777" w:rsidR="00000000" w:rsidRDefault="00F767B3">
            <w:pPr>
              <w:pStyle w:val="NormalWeb"/>
              <w:divId w:val="1203707966"/>
            </w:pPr>
            <w:r>
              <w:t>1.2</w:t>
            </w:r>
          </w:p>
          <w:p w14:paraId="586A458F" w14:textId="77777777" w:rsidR="00000000" w:rsidRDefault="00F767B3">
            <w:pPr>
              <w:pStyle w:val="NormalWeb"/>
              <w:divId w:val="1203707966"/>
            </w:pPr>
            <w:r>
              <w:lastRenderedPageBreak/>
              <w:t>By 2030, reduce at least by half the proportion of men, women and children of all ages living in poverty in all its dimensions according to national definitions</w:t>
            </w:r>
          </w:p>
          <w:p w14:paraId="7FFB53FD" w14:textId="77777777" w:rsidR="00EE735E" w:rsidRDefault="00EE735E"/>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FD80DC7" w14:textId="77777777" w:rsidR="00000000" w:rsidRDefault="00F767B3">
            <w:pPr>
              <w:pStyle w:val="NormalWeb"/>
              <w:divId w:val="1741750742"/>
            </w:pPr>
            <w:r>
              <w:t>1.2.1</w:t>
            </w:r>
          </w:p>
          <w:p w14:paraId="7E957D65" w14:textId="77777777" w:rsidR="00000000" w:rsidRDefault="00F767B3">
            <w:pPr>
              <w:pStyle w:val="NormalWeb"/>
              <w:divId w:val="1741750742"/>
            </w:pPr>
            <w:r>
              <w:t>Proportion of population living below the national poverty line, by sex and age</w:t>
            </w:r>
          </w:p>
          <w:p w14:paraId="47F8951C" w14:textId="77777777" w:rsidR="00EE735E" w:rsidRDefault="00EE735E"/>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67D321C" w14:textId="77777777" w:rsidR="00EE735E" w:rsidRDefault="00EE735E"/>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BF814F8" w14:textId="77777777" w:rsidR="00EE735E" w:rsidRDefault="00EE735E"/>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7493BCB" w14:textId="77777777" w:rsidR="00EE735E" w:rsidRDefault="00EE735E"/>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AB3C7EA" w14:textId="77777777" w:rsidR="00000000" w:rsidRDefault="00F767B3">
            <w:pPr>
              <w:pStyle w:val="NormalWeb"/>
              <w:divId w:val="2139493948"/>
            </w:pPr>
            <w:r>
              <w:t>World Bank</w:t>
            </w:r>
          </w:p>
          <w:p w14:paraId="7E092450" w14:textId="77777777" w:rsidR="00EE735E" w:rsidRDefault="00EE735E"/>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FC30CC5" w14:textId="77777777" w:rsidR="00EE735E" w:rsidRDefault="00EE735E"/>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AA19947" w14:textId="77777777" w:rsidR="00000000" w:rsidRDefault="00F767B3">
            <w:pPr>
              <w:pStyle w:val="NormalWeb"/>
              <w:divId w:val="952977146"/>
            </w:pPr>
            <w:r>
              <w:t>National Institute of Statistics of Rwanda (NISR)</w:t>
            </w:r>
          </w:p>
          <w:p w14:paraId="348209F1" w14:textId="77777777" w:rsidR="00EE735E" w:rsidRDefault="00EE735E"/>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BC43186" w14:textId="77777777" w:rsidR="00EE735E" w:rsidRDefault="00EE735E"/>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0ACCCC1" w14:textId="77777777" w:rsidR="00EE735E" w:rsidRDefault="00EE735E"/>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037D151" w14:textId="77777777" w:rsidR="00EE735E" w:rsidRDefault="00EE735E"/>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865FC06" w14:textId="77777777" w:rsidR="00EE735E" w:rsidRDefault="00EE735E"/>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B8245B9" w14:textId="77777777" w:rsidR="00EE735E" w:rsidRDefault="00EE735E"/>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D336A6F" w14:textId="77777777" w:rsidR="00000000" w:rsidRDefault="00F767B3">
            <w:pPr>
              <w:pStyle w:val="NormalWeb"/>
              <w:divId w:val="2142769891"/>
            </w:pPr>
            <w:hyperlink r:id="rId19" w:history="1">
              <w:r>
                <w:rPr>
                  <w:rStyle w:val="Hyperlink"/>
                </w:rPr>
                <w:t>info@statistics.gov.rw</w:t>
              </w:r>
            </w:hyperlink>
          </w:p>
          <w:p w14:paraId="388717CA" w14:textId="77777777" w:rsidR="00EE735E" w:rsidRDefault="00EE735E"/>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1A876C7" w14:textId="77777777" w:rsidR="00EE735E" w:rsidRDefault="00EE735E"/>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C65341" w14:textId="77777777" w:rsidR="00000000" w:rsidRDefault="00F767B3">
            <w:pPr>
              <w:pStyle w:val="NormalWeb"/>
              <w:divId w:val="652292665"/>
            </w:pPr>
            <w:r>
              <w:t>Defined as the percentage of the population living below the national poverty line which is on less than 64,000 RWF per adult equivalent per year measured in 2001 prices corresponding to 118, 000 RWF in 2010.</w:t>
            </w:r>
          </w:p>
          <w:p w14:paraId="1974F215" w14:textId="77777777" w:rsidR="00000000" w:rsidRDefault="00F767B3">
            <w:pPr>
              <w:pStyle w:val="NormalWeb"/>
              <w:divId w:val="652292665"/>
            </w:pPr>
            <w:r>
              <w:t>The poverty line is a threshold of the value of</w:t>
            </w:r>
            <w:r>
              <w:t xml:space="preserve"> total annual per capita consumption in a household below which an individual is considered poor. Aggregate household consumption is computed as the sum of expenditure on food as well as value of auto consumption, expenditure on non-food,</w:t>
            </w:r>
          </w:p>
          <w:p w14:paraId="3677C0B5" w14:textId="77777777" w:rsidR="00000000" w:rsidRDefault="00F767B3">
            <w:pPr>
              <w:pStyle w:val="NormalWeb"/>
              <w:divId w:val="652292665"/>
            </w:pPr>
            <w:r>
              <w:t>health items, edu</w:t>
            </w:r>
            <w:r>
              <w:t>cation, housing utilities, value of in-kind wages, other benefits received by the household and a measure of the use value of durable goods owned by the household. Consumption per capita is then computed as the total consumption per adult equivalent. Where</w:t>
            </w:r>
            <w:r>
              <w:t xml:space="preserve"> adult</w:t>
            </w:r>
          </w:p>
          <w:p w14:paraId="2B28B89F" w14:textId="77777777" w:rsidR="00000000" w:rsidRDefault="00F767B3">
            <w:pPr>
              <w:pStyle w:val="NormalWeb"/>
              <w:divId w:val="652292665"/>
            </w:pPr>
            <w:r>
              <w:t>equivalence is an aggregate indicator for household size which takes into account its age and sex composition.</w:t>
            </w:r>
          </w:p>
          <w:p w14:paraId="543F6F92" w14:textId="77777777" w:rsidR="00000000" w:rsidRDefault="00F767B3">
            <w:pPr>
              <w:pStyle w:val="NormalWeb"/>
              <w:divId w:val="652292665"/>
            </w:pPr>
            <w:r>
              <w:t xml:space="preserve">The poverty line is then set with reference to a minimum food consumption basket, judged to offer the required number of calories (2200 k </w:t>
            </w:r>
            <w:r>
              <w:t>calories per day) for a Rwandan likely to be involved in physically demanding agricultural activity, along with an allowance for non-food consumption. The non-food consumption expenditure is determined as a</w:t>
            </w:r>
          </w:p>
          <w:p w14:paraId="20A81CA4" w14:textId="77777777" w:rsidR="00000000" w:rsidRDefault="00F767B3">
            <w:pPr>
              <w:pStyle w:val="NormalWeb"/>
              <w:divId w:val="652292665"/>
            </w:pPr>
            <w:r>
              <w:t>function of food consumption.</w:t>
            </w:r>
          </w:p>
          <w:p w14:paraId="6C5F88EE" w14:textId="77777777" w:rsidR="00EE735E" w:rsidRDefault="00EE735E"/>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64E5AA8" w14:textId="77777777" w:rsidR="00000000" w:rsidRDefault="00F767B3">
            <w:pPr>
              <w:pStyle w:val="NormalWeb"/>
              <w:divId w:val="672418426"/>
            </w:pPr>
            <w:r>
              <w:t>Percent</w:t>
            </w:r>
          </w:p>
          <w:p w14:paraId="26F8B20E" w14:textId="77777777" w:rsidR="00EE735E" w:rsidRDefault="00EE735E"/>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DD38074" w14:textId="77777777" w:rsidR="00EE735E" w:rsidRDefault="00EE735E"/>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5F3B2EA" w14:textId="77777777" w:rsidR="00EE735E" w:rsidRDefault="00EE735E"/>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1238D82" w14:textId="77777777" w:rsidR="00EE735E" w:rsidRDefault="00EE735E"/>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BF8672E" w14:textId="77777777" w:rsidR="00EE735E" w:rsidRDefault="00EE735E"/>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9F48111" w14:textId="77777777" w:rsidR="00000000" w:rsidRDefault="00F767B3">
            <w:pPr>
              <w:pStyle w:val="NormalWeb"/>
              <w:divId w:val="597299149"/>
            </w:pPr>
            <w:r>
              <w:t>3 years</w:t>
            </w:r>
          </w:p>
          <w:p w14:paraId="6408524C" w14:textId="77777777" w:rsidR="00EE735E" w:rsidRDefault="00EE735E"/>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E4A27BE" w14:textId="77777777" w:rsidR="00EE735E" w:rsidRDefault="00EE735E"/>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C6E409F" w14:textId="77777777" w:rsidR="00000000" w:rsidRDefault="00F767B3">
            <w:pPr>
              <w:pStyle w:val="NormalWeb"/>
              <w:divId w:val="1843547085"/>
            </w:pPr>
            <w:r>
              <w:t>Integrated Household Living Conditions Survey(EICV)</w:t>
            </w:r>
          </w:p>
          <w:p w14:paraId="3CB1F325" w14:textId="77777777" w:rsidR="00EE735E" w:rsidRDefault="00EE735E"/>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1C9B50D" w14:textId="77777777" w:rsidR="00EE735E" w:rsidRDefault="00EE735E"/>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23368B3" w14:textId="77777777" w:rsidR="00EE735E" w:rsidRDefault="00EE735E"/>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9445E9E" w14:textId="77777777" w:rsidR="00EE735E" w:rsidRDefault="00EE735E"/>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EEE80BC" w14:textId="77777777" w:rsidR="00EE735E" w:rsidRDefault="00EE735E"/>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7B470B6" w14:textId="77777777" w:rsidR="00000000" w:rsidRDefault="00F767B3">
            <w:pPr>
              <w:pStyle w:val="NormalWeb"/>
              <w:divId w:val="1053584052"/>
            </w:pPr>
            <w:r>
              <w:t xml:space="preserve">EICV surveys do not collect information on the intrahousehold distribution of consumption. Thus, the consumption-based standard of living measure is based on the assumption that individuals are represented in the distribution by the consumption measure of </w:t>
            </w:r>
            <w:r>
              <w:t>the household they belong to. This fails to take account of inequality in distribution within the household.</w:t>
            </w:r>
          </w:p>
          <w:p w14:paraId="2054CE63" w14:textId="77777777" w:rsidR="00EE735E" w:rsidRDefault="00EE735E"/>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B2BFDF9" w14:textId="77777777" w:rsidR="00000000" w:rsidRDefault="00F767B3">
            <w:pPr>
              <w:pStyle w:val="NormalWeb"/>
              <w:divId w:val="1887255288"/>
            </w:pPr>
            <w:r>
              <w:t>Household annual consumption per adult equivalent is computed and compared with the poverty line. Individuals living in households whose per capita consumption falls below the poverty line are considered as poor.</w:t>
            </w:r>
          </w:p>
          <w:p w14:paraId="31BAE9C9" w14:textId="77777777" w:rsidR="00000000" w:rsidRDefault="00F767B3">
            <w:pPr>
              <w:pStyle w:val="NormalWeb"/>
              <w:divId w:val="1887255288"/>
            </w:pPr>
            <w:r>
              <w:lastRenderedPageBreak/>
              <w:t>Where N</w:t>
            </w:r>
            <w:r>
              <w:rPr>
                <w:vertAlign w:val="subscript"/>
              </w:rPr>
              <w:t>p</w:t>
            </w:r>
            <w:r>
              <w:t xml:space="preserve"> denotes the number of population (</w:t>
            </w:r>
            <w:r>
              <w:t>adult equivalent) living below the poverty line and N denotes total number of population</w:t>
            </w:r>
          </w:p>
          <w:p w14:paraId="6AA7A3ED" w14:textId="77777777" w:rsidR="00EE735E" w:rsidRDefault="00EE735E"/>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3C48A81E" w14:textId="77777777" w:rsidR="00EE735E" w:rsidRDefault="00EE735E"/>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A666BC0" w14:textId="77777777" w:rsidR="00EE735E" w:rsidRDefault="00EE735E"/>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6409152" w14:textId="77777777" w:rsidR="00EE735E" w:rsidRDefault="00EE735E"/>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613D833" w14:textId="77777777" w:rsidR="00EE735E" w:rsidRDefault="00EE735E"/>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259D519" w14:textId="77777777" w:rsidR="00EE735E" w:rsidRDefault="00EE735E"/>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B50FF3F" w14:textId="77777777" w:rsidR="00EE735E" w:rsidRDefault="00EE735E"/>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D5CBB39" w14:textId="77777777" w:rsidR="00EE735E" w:rsidRDefault="00EE735E"/>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9876169" w14:textId="77777777" w:rsidR="00EE735E" w:rsidRDefault="00EE735E"/>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5728012" w14:textId="77777777" w:rsidR="00000000" w:rsidRDefault="00F767B3">
            <w:pPr>
              <w:pStyle w:val="Heading2"/>
              <w:divId w:val="1477187495"/>
              <w:rPr>
                <w:rFonts w:eastAsia="Times New Roman"/>
                <w:sz w:val="36"/>
                <w:szCs w:val="36"/>
              </w:rPr>
            </w:pPr>
            <w:r>
              <w:rPr>
                <w:rFonts w:eastAsia="Times New Roman"/>
              </w:rPr>
              <w:t>Earliest available data</w:t>
            </w:r>
          </w:p>
          <w:p w14:paraId="24A803FD" w14:textId="77777777" w:rsidR="00000000" w:rsidRDefault="00F767B3">
            <w:pPr>
              <w:pStyle w:val="NormalWeb"/>
              <w:divId w:val="1477187495"/>
            </w:pPr>
            <w:r>
              <w:t>2000</w:t>
            </w:r>
          </w:p>
          <w:p w14:paraId="5CADC565" w14:textId="77777777" w:rsidR="00000000" w:rsidRDefault="00F767B3">
            <w:pPr>
              <w:pStyle w:val="Heading2"/>
              <w:divId w:val="1477187495"/>
              <w:rPr>
                <w:rFonts w:eastAsia="Times New Roman"/>
              </w:rPr>
            </w:pPr>
            <w:r>
              <w:rPr>
                <w:rFonts w:eastAsia="Times New Roman"/>
              </w:rPr>
              <w:t>Geographical coverage</w:t>
            </w:r>
          </w:p>
          <w:p w14:paraId="117A8E48" w14:textId="77777777" w:rsidR="00000000" w:rsidRDefault="00F767B3">
            <w:pPr>
              <w:pStyle w:val="NormalWeb"/>
              <w:divId w:val="1477187495"/>
            </w:pPr>
            <w:r>
              <w:t>National</w:t>
            </w:r>
          </w:p>
          <w:p w14:paraId="25B12AC9" w14:textId="77777777" w:rsidR="00000000" w:rsidRDefault="00F767B3">
            <w:pPr>
              <w:pStyle w:val="Heading2"/>
              <w:divId w:val="1477187495"/>
              <w:rPr>
                <w:rFonts w:eastAsia="Times New Roman"/>
              </w:rPr>
            </w:pPr>
            <w:r>
              <w:rPr>
                <w:rFonts w:eastAsia="Times New Roman"/>
              </w:rPr>
              <w:t>Disaggregation</w:t>
            </w:r>
          </w:p>
          <w:p w14:paraId="18C33790" w14:textId="77777777" w:rsidR="00000000" w:rsidRDefault="00F767B3">
            <w:pPr>
              <w:numPr>
                <w:ilvl w:val="0"/>
                <w:numId w:val="5"/>
              </w:numPr>
              <w:spacing w:before="100" w:beforeAutospacing="1" w:after="100" w:afterAutospacing="1" w:line="240" w:lineRule="auto"/>
              <w:divId w:val="1477187495"/>
              <w:rPr>
                <w:rFonts w:eastAsia="Times New Roman"/>
              </w:rPr>
            </w:pPr>
            <w:r>
              <w:rPr>
                <w:rFonts w:eastAsia="Times New Roman"/>
              </w:rPr>
              <w:t>Geographical: National, Province, District Residence (Urban &amp; Rural)</w:t>
            </w:r>
          </w:p>
          <w:p w14:paraId="14376149" w14:textId="77777777" w:rsidR="00000000" w:rsidRDefault="00F767B3">
            <w:pPr>
              <w:numPr>
                <w:ilvl w:val="0"/>
                <w:numId w:val="5"/>
              </w:numPr>
              <w:spacing w:before="100" w:beforeAutospacing="1" w:after="100" w:afterAutospacing="1" w:line="240" w:lineRule="auto"/>
              <w:divId w:val="1477187495"/>
              <w:rPr>
                <w:rFonts w:eastAsia="Times New Roman"/>
              </w:rPr>
            </w:pPr>
            <w:r>
              <w:rPr>
                <w:rFonts w:eastAsia="Times New Roman"/>
              </w:rPr>
              <w:t>Sex</w:t>
            </w:r>
          </w:p>
          <w:p w14:paraId="2B9BFC6C" w14:textId="77777777" w:rsidR="00000000" w:rsidRDefault="00F767B3">
            <w:pPr>
              <w:numPr>
                <w:ilvl w:val="0"/>
                <w:numId w:val="5"/>
              </w:numPr>
              <w:spacing w:before="100" w:beforeAutospacing="1" w:after="100" w:afterAutospacing="1" w:line="240" w:lineRule="auto"/>
              <w:divId w:val="1477187495"/>
              <w:rPr>
                <w:rFonts w:eastAsia="Times New Roman"/>
              </w:rPr>
            </w:pPr>
            <w:r>
              <w:rPr>
                <w:rFonts w:eastAsia="Times New Roman"/>
              </w:rPr>
              <w:t>Age group</w:t>
            </w:r>
          </w:p>
          <w:p w14:paraId="1A2F78FA" w14:textId="77777777" w:rsidR="00EE735E" w:rsidRDefault="00EE735E"/>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46C2CD6" w14:textId="77777777" w:rsidR="00000000" w:rsidRDefault="00F767B3">
            <w:pPr>
              <w:pStyle w:val="Heading2"/>
              <w:divId w:val="708842824"/>
              <w:rPr>
                <w:rFonts w:eastAsia="Times New Roman"/>
                <w:sz w:val="36"/>
                <w:szCs w:val="36"/>
              </w:rPr>
            </w:pPr>
            <w:r>
              <w:rPr>
                <w:rFonts w:eastAsia="Times New Roman"/>
              </w:rPr>
              <w:t>Global indicator description</w:t>
            </w:r>
          </w:p>
          <w:p w14:paraId="2500E9AE" w14:textId="77777777" w:rsidR="00000000" w:rsidRDefault="00F767B3">
            <w:pPr>
              <w:pStyle w:val="NormalWeb"/>
              <w:divId w:val="708842824"/>
            </w:pPr>
            <w:r>
              <w:t xml:space="preserve">Monitoring national poverty is important for country-specific development agendas. National poverty lines are used to make more accurate estimates of poverty consistent with the </w:t>
            </w:r>
            <w:proofErr w:type="spellStart"/>
            <w:r>
              <w:t>countryâ</w:t>
            </w:r>
            <w:proofErr w:type="spellEnd"/>
            <w:r>
              <w:t>€™s specific economic and social circumstances, and are not intended f</w:t>
            </w:r>
            <w:r>
              <w:t>or international comparisons of poverty rates</w:t>
            </w:r>
          </w:p>
          <w:p w14:paraId="2F118D2E" w14:textId="77777777" w:rsidR="00000000" w:rsidRDefault="00F767B3">
            <w:pPr>
              <w:pStyle w:val="Heading2"/>
              <w:divId w:val="708842824"/>
              <w:rPr>
                <w:rFonts w:eastAsia="Times New Roman"/>
              </w:rPr>
            </w:pPr>
            <w:r>
              <w:rPr>
                <w:rFonts w:eastAsia="Times New Roman"/>
              </w:rPr>
              <w:t>Link to UN Metadata</w:t>
            </w:r>
          </w:p>
          <w:p w14:paraId="4F61F6CD" w14:textId="77777777" w:rsidR="00000000" w:rsidRDefault="00F767B3">
            <w:pPr>
              <w:pStyle w:val="NormalWeb"/>
              <w:divId w:val="708842824"/>
            </w:pPr>
            <w:hyperlink r:id="rId20" w:tgtFrame="_blank" w:history="1">
              <w:r>
                <w:rPr>
                  <w:rStyle w:val="Hyperlink"/>
                </w:rPr>
                <w:t>United Nations Sustainable Development Goals Metadata (PDF 98.2 KB)</w:t>
              </w:r>
            </w:hyperlink>
          </w:p>
          <w:p w14:paraId="7C45EF2F" w14:textId="77777777" w:rsidR="00EE735E" w:rsidRDefault="00EE735E"/>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5F77B83" w14:textId="77777777" w:rsidR="00000000" w:rsidRDefault="00F767B3">
            <w:pPr>
              <w:pStyle w:val="Heading2"/>
              <w:divId w:val="569733305"/>
              <w:rPr>
                <w:rFonts w:eastAsia="Times New Roman"/>
                <w:sz w:val="36"/>
                <w:szCs w:val="36"/>
              </w:rPr>
            </w:pPr>
            <w:r>
              <w:rPr>
                <w:rFonts w:eastAsia="Times New Roman"/>
              </w:rPr>
              <w:t>UN designated tier</w:t>
            </w:r>
          </w:p>
          <w:p w14:paraId="324A536A" w14:textId="77777777" w:rsidR="00000000" w:rsidRDefault="00F767B3">
            <w:pPr>
              <w:pStyle w:val="NormalWeb"/>
              <w:divId w:val="569733305"/>
            </w:pPr>
            <w:r>
              <w:t>1</w:t>
            </w:r>
          </w:p>
          <w:p w14:paraId="686EE90A" w14:textId="77777777" w:rsidR="00EE735E" w:rsidRDefault="00EE735E"/>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9B01C19"/>
    <w:multiLevelType w:val="multilevel"/>
    <w:tmpl w:val="5B4038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35E"/>
    <w:rsid w:val="00EE79CF"/>
    <w:rsid w:val="00F00FDD"/>
    <w:rsid w:val="00F01713"/>
    <w:rsid w:val="00F02B1E"/>
    <w:rsid w:val="00F07040"/>
    <w:rsid w:val="00F2310E"/>
    <w:rsid w:val="00F54570"/>
    <w:rsid w:val="00F75853"/>
    <w:rsid w:val="00F767B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69733305">
      <w:bodyDiv w:val="1"/>
      <w:marLeft w:val="0"/>
      <w:marRight w:val="0"/>
      <w:marTop w:val="0"/>
      <w:marBottom w:val="0"/>
      <w:divBdr>
        <w:top w:val="none" w:sz="0" w:space="0" w:color="auto"/>
        <w:left w:val="none" w:sz="0" w:space="0" w:color="auto"/>
        <w:bottom w:val="none" w:sz="0" w:space="0" w:color="auto"/>
        <w:right w:val="none" w:sz="0" w:space="0" w:color="auto"/>
      </w:divBdr>
    </w:div>
    <w:div w:id="597299149">
      <w:bodyDiv w:val="1"/>
      <w:marLeft w:val="0"/>
      <w:marRight w:val="0"/>
      <w:marTop w:val="0"/>
      <w:marBottom w:val="0"/>
      <w:divBdr>
        <w:top w:val="none" w:sz="0" w:space="0" w:color="auto"/>
        <w:left w:val="none" w:sz="0" w:space="0" w:color="auto"/>
        <w:bottom w:val="none" w:sz="0" w:space="0" w:color="auto"/>
        <w:right w:val="none" w:sz="0" w:space="0" w:color="auto"/>
      </w:divBdr>
    </w:div>
    <w:div w:id="652292665">
      <w:bodyDiv w:val="1"/>
      <w:marLeft w:val="0"/>
      <w:marRight w:val="0"/>
      <w:marTop w:val="0"/>
      <w:marBottom w:val="0"/>
      <w:divBdr>
        <w:top w:val="none" w:sz="0" w:space="0" w:color="auto"/>
        <w:left w:val="none" w:sz="0" w:space="0" w:color="auto"/>
        <w:bottom w:val="none" w:sz="0" w:space="0" w:color="auto"/>
        <w:right w:val="none" w:sz="0" w:space="0" w:color="auto"/>
      </w:divBdr>
    </w:div>
    <w:div w:id="672418426">
      <w:bodyDiv w:val="1"/>
      <w:marLeft w:val="0"/>
      <w:marRight w:val="0"/>
      <w:marTop w:val="0"/>
      <w:marBottom w:val="0"/>
      <w:divBdr>
        <w:top w:val="none" w:sz="0" w:space="0" w:color="auto"/>
        <w:left w:val="none" w:sz="0" w:space="0" w:color="auto"/>
        <w:bottom w:val="none" w:sz="0" w:space="0" w:color="auto"/>
        <w:right w:val="none" w:sz="0" w:space="0" w:color="auto"/>
      </w:divBdr>
    </w:div>
    <w:div w:id="70884282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52977146">
      <w:bodyDiv w:val="1"/>
      <w:marLeft w:val="0"/>
      <w:marRight w:val="0"/>
      <w:marTop w:val="0"/>
      <w:marBottom w:val="0"/>
      <w:divBdr>
        <w:top w:val="none" w:sz="0" w:space="0" w:color="auto"/>
        <w:left w:val="none" w:sz="0" w:space="0" w:color="auto"/>
        <w:bottom w:val="none" w:sz="0" w:space="0" w:color="auto"/>
        <w:right w:val="none" w:sz="0" w:space="0" w:color="auto"/>
      </w:divBdr>
    </w:div>
    <w:div w:id="1053584052">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370796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77187495">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41750742">
      <w:bodyDiv w:val="1"/>
      <w:marLeft w:val="0"/>
      <w:marRight w:val="0"/>
      <w:marTop w:val="0"/>
      <w:marBottom w:val="0"/>
      <w:divBdr>
        <w:top w:val="none" w:sz="0" w:space="0" w:color="auto"/>
        <w:left w:val="none" w:sz="0" w:space="0" w:color="auto"/>
        <w:bottom w:val="none" w:sz="0" w:space="0" w:color="auto"/>
        <w:right w:val="none" w:sz="0" w:space="0" w:color="auto"/>
      </w:divBdr>
    </w:div>
    <w:div w:id="1843547085">
      <w:bodyDiv w:val="1"/>
      <w:marLeft w:val="0"/>
      <w:marRight w:val="0"/>
      <w:marTop w:val="0"/>
      <w:marBottom w:val="0"/>
      <w:divBdr>
        <w:top w:val="none" w:sz="0" w:space="0" w:color="auto"/>
        <w:left w:val="none" w:sz="0" w:space="0" w:color="auto"/>
        <w:bottom w:val="none" w:sz="0" w:space="0" w:color="auto"/>
        <w:right w:val="none" w:sz="0" w:space="0" w:color="auto"/>
      </w:divBdr>
    </w:div>
    <w:div w:id="188725528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39493948">
      <w:bodyDiv w:val="1"/>
      <w:marLeft w:val="0"/>
      <w:marRight w:val="0"/>
      <w:marTop w:val="0"/>
      <w:marBottom w:val="0"/>
      <w:divBdr>
        <w:top w:val="none" w:sz="0" w:space="0" w:color="auto"/>
        <w:left w:val="none" w:sz="0" w:space="0" w:color="auto"/>
        <w:bottom w:val="none" w:sz="0" w:space="0" w:color="auto"/>
        <w:right w:val="none" w:sz="0" w:space="0" w:color="auto"/>
      </w:divBdr>
    </w:div>
    <w:div w:id="21427698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1-02-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234683</Words>
  <Characters>1337694</Characters>
  <Application>Microsoft Office Word</Application>
  <DocSecurity>8</DocSecurity>
  <Lines>11147</Lines>
  <Paragraphs>3138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1569239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2021-06-07T12:49:00Z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