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17B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17B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17B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17B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17B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17B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17B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17B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17B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17B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17B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17B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17B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286F09D3" w:rsidR="00B66AF3" w:rsidRDefault="00C817B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D7F95D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r>
            <w:t>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CC8D4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89143A0" w14:textId="77777777" w:rsidR="008D1329" w:rsidRDefault="008D1329"/>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7DC312F" w14:textId="77777777" w:rsidR="008D1329" w:rsidRDefault="008D1329"/>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7C6D10F" w14:textId="77777777" w:rsidR="00000000" w:rsidRDefault="00C817B8">
            <w:pPr>
              <w:pStyle w:val="NormalWeb"/>
              <w:divId w:val="358047624"/>
            </w:pPr>
            <w:r>
              <w:t>17.4</w:t>
            </w:r>
          </w:p>
          <w:p w14:paraId="114EF702" w14:textId="77777777" w:rsidR="00000000" w:rsidRDefault="00C817B8">
            <w:pPr>
              <w:pStyle w:val="Heading5"/>
              <w:divId w:val="358047624"/>
              <w:rPr>
                <w:rFonts w:eastAsia="Times New Roman"/>
              </w:rPr>
            </w:pPr>
            <w:r>
              <w:rPr>
                <w:rFonts w:eastAsia="Times New Roman"/>
              </w:rPr>
              <w:t xml:space="preserve">Assist developing countries in attaining long-term debt sustainability through coordinated policies aimed at fostering debt financing, debt relief and debt restructuring, as </w:t>
            </w:r>
            <w:r>
              <w:rPr>
                <w:rFonts w:eastAsia="Times New Roman"/>
              </w:rPr>
              <w:lastRenderedPageBreak/>
              <w:t>appropriate, and address the external debt of highly indebted poor countries to re</w:t>
            </w:r>
            <w:r>
              <w:rPr>
                <w:rFonts w:eastAsia="Times New Roman"/>
              </w:rPr>
              <w:t>duce debt distress</w:t>
            </w:r>
          </w:p>
          <w:p w14:paraId="1D66B0F1" w14:textId="77777777" w:rsidR="008D1329" w:rsidRDefault="008D1329"/>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AF1CEAC" w14:textId="77777777" w:rsidR="00000000" w:rsidRDefault="00C817B8">
            <w:pPr>
              <w:pStyle w:val="NormalWeb"/>
              <w:divId w:val="127823824"/>
            </w:pPr>
            <w:r>
              <w:t>17.4.1</w:t>
            </w:r>
          </w:p>
          <w:p w14:paraId="399285D6" w14:textId="77777777" w:rsidR="00000000" w:rsidRDefault="00C817B8">
            <w:pPr>
              <w:pStyle w:val="NormalWeb"/>
              <w:divId w:val="127823824"/>
            </w:pPr>
            <w:r>
              <w:t>Debt service as a proportion of exports of goods and services</w:t>
            </w:r>
          </w:p>
          <w:p w14:paraId="4525250E" w14:textId="77777777" w:rsidR="008D1329" w:rsidRDefault="008D1329"/>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D0B5A69" w14:textId="77777777" w:rsidR="008D1329" w:rsidRDefault="008D132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7983D31" w14:textId="77777777" w:rsidR="008D1329" w:rsidRDefault="008D1329"/>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67072D8" w14:textId="77777777" w:rsidR="008D1329" w:rsidRDefault="008D1329"/>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08EA742" w14:textId="77777777" w:rsidR="00000000" w:rsidRDefault="00C817B8">
            <w:pPr>
              <w:pStyle w:val="NormalWeb"/>
              <w:divId w:val="1123184176"/>
            </w:pPr>
            <w:r>
              <w:t>World Bank</w:t>
            </w:r>
          </w:p>
          <w:p w14:paraId="1BB34839" w14:textId="77777777" w:rsidR="008D1329" w:rsidRDefault="008D1329"/>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7E683DB" w14:textId="77777777" w:rsidR="008D1329" w:rsidRDefault="008D1329"/>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CBAAA11" w14:textId="77777777" w:rsidR="00000000" w:rsidRDefault="00C817B8">
            <w:pPr>
              <w:pStyle w:val="NormalWeb"/>
              <w:divId w:val="1901862953"/>
            </w:pPr>
            <w:r>
              <w:t>Ministry of Economy and Finance (MINECOFIN)</w:t>
            </w:r>
          </w:p>
          <w:p w14:paraId="701AFB5B" w14:textId="77777777" w:rsidR="008D1329" w:rsidRDefault="008D1329"/>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629C034" w14:textId="77777777" w:rsidR="008D1329" w:rsidRDefault="008D1329"/>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BF6555" w14:textId="77777777" w:rsidR="008D1329" w:rsidRDefault="008D1329"/>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B9F2A92" w14:textId="77777777" w:rsidR="008D1329" w:rsidRDefault="008D1329"/>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43101D2" w14:textId="77777777" w:rsidR="008D1329" w:rsidRDefault="008D1329"/>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71FCCE0" w14:textId="77777777" w:rsidR="008D1329" w:rsidRDefault="008D1329"/>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A038352" w14:textId="77777777" w:rsidR="008D1329" w:rsidRDefault="008D1329"/>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3D1A160" w14:textId="77777777" w:rsidR="008D1329" w:rsidRDefault="008D1329"/>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88EFCB" w14:textId="77777777" w:rsidR="00000000" w:rsidRDefault="00C817B8">
            <w:pPr>
              <w:pStyle w:val="NormalWeb"/>
              <w:divId w:val="2082948279"/>
            </w:pPr>
            <w:r>
              <w:t>External debt service covered in this indicator refer only to public and publicly guaranteed debt.</w:t>
            </w:r>
          </w:p>
          <w:p w14:paraId="3763E496" w14:textId="77777777" w:rsidR="00000000" w:rsidRDefault="00C817B8">
            <w:pPr>
              <w:pStyle w:val="NormalWeb"/>
              <w:divId w:val="2082948279"/>
            </w:pPr>
            <w:r>
              <w:t>The External Public debt service as a percentage of exports of goods and services is the sum of a countryâ€™s debt service on short and long-term public and publicly guaranteed debt and International Monetary Fund (IMF) repurchases and charges expressed as</w:t>
            </w:r>
            <w:r>
              <w:t xml:space="preserve"> a percentage of that countryâ€™s exports of goods and services.</w:t>
            </w:r>
          </w:p>
          <w:p w14:paraId="0E451DEB" w14:textId="77777777" w:rsidR="00000000" w:rsidRDefault="00C817B8">
            <w:pPr>
              <w:pStyle w:val="NormalWeb"/>
              <w:divId w:val="2082948279"/>
            </w:pPr>
            <w:r>
              <w:t>Public Debt service is the sum of principal repayments and interest payments actually paid on debt to non-residents. Long-term refers to debt that has an original or extended maturity of more</w:t>
            </w:r>
            <w:r>
              <w:t xml:space="preserve"> than one year. </w:t>
            </w:r>
          </w:p>
          <w:p w14:paraId="0C998888" w14:textId="77777777" w:rsidR="00000000" w:rsidRDefault="00C817B8">
            <w:pPr>
              <w:pStyle w:val="NormalWeb"/>
              <w:divId w:val="2082948279"/>
            </w:pPr>
            <w:r>
              <w:t xml:space="preserve">IMF repurchases are total repayments of outstanding drawings from the general resources account during the year specified, excluding repayments due in the reserve tranche. </w:t>
            </w:r>
          </w:p>
          <w:p w14:paraId="791779CF" w14:textId="77777777" w:rsidR="00000000" w:rsidRDefault="00C817B8">
            <w:pPr>
              <w:pStyle w:val="NormalWeb"/>
              <w:divId w:val="2082948279"/>
            </w:pPr>
            <w:r>
              <w:t>IMF charges cover interest payments with respect to all uses of IM</w:t>
            </w:r>
            <w:r>
              <w:t xml:space="preserve">F resources, excluding those resulting from drawings in the reserve tranche. </w:t>
            </w:r>
          </w:p>
          <w:p w14:paraId="14A8E114" w14:textId="77777777" w:rsidR="00000000" w:rsidRDefault="00C817B8">
            <w:pPr>
              <w:pStyle w:val="NormalWeb"/>
              <w:divId w:val="2082948279"/>
            </w:pPr>
            <w:r>
              <w:t>Exports of goods, services and net income are the sum of goods(merchandise) exports, exports of (nonfactor) services and income (factor) receipts from abroad excluding workers' r</w:t>
            </w:r>
            <w:r>
              <w:t>emittances.</w:t>
            </w:r>
          </w:p>
          <w:p w14:paraId="2DCF7EE1" w14:textId="77777777" w:rsidR="008D1329" w:rsidRDefault="008D1329"/>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E4DEB5A" w14:textId="77777777" w:rsidR="00000000" w:rsidRDefault="00C817B8">
            <w:pPr>
              <w:pStyle w:val="NormalWeb"/>
              <w:divId w:val="205720453"/>
            </w:pPr>
            <w:r>
              <w:t>Percent (%)</w:t>
            </w:r>
          </w:p>
          <w:p w14:paraId="6E4ABB00" w14:textId="77777777" w:rsidR="008D1329" w:rsidRDefault="008D1329"/>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A20765F" w14:textId="77777777" w:rsidR="00000000" w:rsidRDefault="00C817B8">
            <w:pPr>
              <w:pStyle w:val="NormalWeb"/>
              <w:divId w:val="1140074191"/>
            </w:pPr>
            <w:r>
              <w:t>Concepts of public and publicly guaranteed external debt data are in accordance with the sixth edition of the Balance of Payments and International Investment Position Manual (BPM6) methodology. â€œExports of goods and servicesâ€</w:t>
            </w:r>
            <w:r>
              <w:t></w:t>
            </w:r>
            <w:r>
              <w:t xml:space="preserve"> data concepts are in acco</w:t>
            </w:r>
            <w:r>
              <w:t>rdance with the sixth edition of the Balance of Payments and International Investment Position Manual (BPM6).</w:t>
            </w:r>
          </w:p>
          <w:p w14:paraId="2A6A0536" w14:textId="77777777" w:rsidR="008D1329" w:rsidRDefault="008D1329"/>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056B545" w14:textId="77777777" w:rsidR="008D1329" w:rsidRDefault="008D1329"/>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974EAF0" w14:textId="77777777" w:rsidR="008D1329" w:rsidRDefault="008D1329"/>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565CEFA" w14:textId="77777777" w:rsidR="008D1329" w:rsidRDefault="008D132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6CFFA7E" w14:textId="77777777" w:rsidR="00000000" w:rsidRDefault="00C817B8">
            <w:pPr>
              <w:pStyle w:val="NormalWeb"/>
              <w:divId w:val="1572930035"/>
            </w:pPr>
            <w:r>
              <w:t>Annual</w:t>
            </w:r>
          </w:p>
          <w:p w14:paraId="43C9708A" w14:textId="77777777" w:rsidR="008D1329" w:rsidRDefault="008D1329"/>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1EF43E3" w14:textId="77777777" w:rsidR="008D1329" w:rsidRDefault="008D1329"/>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5ABF3A8" w14:textId="77777777" w:rsidR="00000000" w:rsidRDefault="00C817B8">
            <w:pPr>
              <w:pStyle w:val="NormalWeb"/>
              <w:divId w:val="1930114173"/>
            </w:pPr>
            <w:r>
              <w:t>Records of MINECOFIN</w:t>
            </w:r>
          </w:p>
          <w:p w14:paraId="30AF30A6" w14:textId="77777777" w:rsidR="008D1329" w:rsidRDefault="008D1329"/>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BEA281F" w14:textId="77777777" w:rsidR="008D1329" w:rsidRDefault="008D1329"/>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112029A" w14:textId="77777777" w:rsidR="008D1329" w:rsidRDefault="008D1329"/>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AFAC9E0" w14:textId="77777777" w:rsidR="008D1329" w:rsidRDefault="008D1329"/>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21F80FF" w14:textId="77777777" w:rsidR="008D1329" w:rsidRDefault="008D1329"/>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DA4A2AE" w14:textId="77777777" w:rsidR="008D1329" w:rsidRDefault="008D1329"/>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F0230DB" w14:textId="77777777" w:rsidR="00000000" w:rsidRDefault="00C817B8">
            <w:pPr>
              <w:pStyle w:val="NormalWeb"/>
              <w:divId w:val="1610695825"/>
            </w:pPr>
            <w:r>
              <w:t>The indicator is calculated as the value of external public debt service divided by the value of exports of goods and services and multiplied by 100.</w:t>
            </w:r>
          </w:p>
          <w:p w14:paraId="2219207F" w14:textId="77777777" w:rsidR="008D1329" w:rsidRDefault="008D132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90060EF" w14:textId="77777777" w:rsidR="008D1329" w:rsidRDefault="008D1329"/>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E937E86" w14:textId="77777777" w:rsidR="008D1329" w:rsidRDefault="008D1329"/>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B69C261" w14:textId="77777777" w:rsidR="008D1329" w:rsidRDefault="008D1329"/>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352EC11" w14:textId="77777777" w:rsidR="008D1329" w:rsidRDefault="008D1329"/>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1F370013" w14:textId="77777777" w:rsidR="008D1329" w:rsidRDefault="008D1329"/>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C0A9FB7" w14:textId="77777777" w:rsidR="008D1329" w:rsidRDefault="008D1329"/>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E9DEC8C" w14:textId="77777777" w:rsidR="008D1329" w:rsidRDefault="008D1329"/>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B88921F" w14:textId="77777777" w:rsidR="008D1329" w:rsidRDefault="008D1329"/>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123BB9C" w14:textId="77777777" w:rsidR="00000000" w:rsidRDefault="00C817B8">
            <w:pPr>
              <w:pStyle w:val="Heading2"/>
              <w:divId w:val="1901673129"/>
              <w:rPr>
                <w:rFonts w:eastAsia="Times New Roman"/>
                <w:sz w:val="36"/>
                <w:szCs w:val="36"/>
              </w:rPr>
            </w:pPr>
            <w:r>
              <w:rPr>
                <w:rFonts w:eastAsia="Times New Roman"/>
              </w:rPr>
              <w:t>Geographical coverage</w:t>
            </w:r>
          </w:p>
          <w:p w14:paraId="52E11009" w14:textId="77777777" w:rsidR="00000000" w:rsidRDefault="00C817B8">
            <w:pPr>
              <w:pStyle w:val="NormalWeb"/>
              <w:divId w:val="1901673129"/>
            </w:pPr>
            <w:r>
              <w:t>National</w:t>
            </w:r>
          </w:p>
          <w:p w14:paraId="1F31043C" w14:textId="77777777" w:rsidR="008D1329" w:rsidRDefault="008D1329"/>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D20AA1E" w14:textId="77777777" w:rsidR="00000000" w:rsidRDefault="00C817B8">
            <w:pPr>
              <w:pStyle w:val="Heading2"/>
              <w:divId w:val="914053207"/>
              <w:rPr>
                <w:rFonts w:eastAsia="Times New Roman"/>
                <w:sz w:val="36"/>
                <w:szCs w:val="36"/>
              </w:rPr>
            </w:pPr>
            <w:r>
              <w:rPr>
                <w:rFonts w:eastAsia="Times New Roman"/>
              </w:rPr>
              <w:t>Indicator available</w:t>
            </w:r>
          </w:p>
          <w:p w14:paraId="292B08FB" w14:textId="77777777" w:rsidR="00000000" w:rsidRDefault="00C817B8">
            <w:pPr>
              <w:pStyle w:val="NormalWeb"/>
              <w:divId w:val="914053207"/>
            </w:pPr>
            <w:r>
              <w:t>External debt service as a proportion of exports of goods and services</w:t>
            </w:r>
          </w:p>
          <w:p w14:paraId="730454FB" w14:textId="77777777" w:rsidR="00000000" w:rsidRDefault="00C817B8">
            <w:pPr>
              <w:pStyle w:val="Heading2"/>
              <w:divId w:val="914053207"/>
              <w:rPr>
                <w:rFonts w:eastAsia="Times New Roman"/>
              </w:rPr>
            </w:pPr>
            <w:r>
              <w:rPr>
                <w:rFonts w:eastAsia="Times New Roman"/>
              </w:rPr>
              <w:t>Link to UN Metadata</w:t>
            </w:r>
          </w:p>
          <w:p w14:paraId="083D0C2F" w14:textId="77777777" w:rsidR="00000000" w:rsidRDefault="00C817B8">
            <w:pPr>
              <w:pStyle w:val="NormalWeb"/>
              <w:divId w:val="914053207"/>
            </w:pPr>
            <w:hyperlink r:id="rId19" w:history="1">
              <w:r>
                <w:rPr>
                  <w:rStyle w:val="Hyperlink"/>
                </w:rPr>
                <w:t>https://unstats.un.org/sdgs/metadata/files/Metadata-17-04-01.pdf</w:t>
              </w:r>
            </w:hyperlink>
          </w:p>
          <w:p w14:paraId="2909293D" w14:textId="77777777" w:rsidR="008D1329" w:rsidRDefault="008D132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DB69B23" w14:textId="77777777" w:rsidR="00000000" w:rsidRDefault="00C817B8">
            <w:pPr>
              <w:pStyle w:val="Heading2"/>
              <w:divId w:val="1602176177"/>
              <w:rPr>
                <w:rFonts w:eastAsia="Times New Roman"/>
                <w:sz w:val="36"/>
                <w:szCs w:val="36"/>
              </w:rPr>
            </w:pPr>
            <w:r>
              <w:rPr>
                <w:rFonts w:eastAsia="Times New Roman"/>
              </w:rPr>
              <w:t>UN designated tier</w:t>
            </w:r>
          </w:p>
          <w:p w14:paraId="516A4F34" w14:textId="77777777" w:rsidR="00000000" w:rsidRDefault="00C817B8">
            <w:pPr>
              <w:pStyle w:val="NormalWeb"/>
              <w:divId w:val="1602176177"/>
            </w:pPr>
            <w:r>
              <w:t>1</w:t>
            </w:r>
          </w:p>
          <w:p w14:paraId="766D4E49" w14:textId="77777777" w:rsidR="008D1329" w:rsidRDefault="008D1329"/>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1329"/>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817B8"/>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link w:val="Heading5Char"/>
    <w:uiPriority w:val="9"/>
    <w:qFormat/>
    <w:pPr>
      <w:spacing w:before="100" w:beforeAutospacing="1" w:after="100" w:afterAutospacing="1" w:line="240" w:lineRule="auto"/>
      <w:outlineLvl w:val="4"/>
    </w:pPr>
    <w:rPr>
      <w:rFonts w:ascii="Times New Roman" w:eastAsiaTheme="minorEastAsia" w:hAnsi="Times New Roman" w:cs="Times New Roman"/>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5Char">
    <w:name w:val="Heading 5 Char"/>
    <w:basedOn w:val="DefaultParagraphFont"/>
    <w:link w:val="Heading5"/>
    <w:uiPriority w:val="9"/>
    <w:rPr>
      <w:rFonts w:ascii="Times New Roman" w:eastAsiaTheme="minorEastAsia" w:hAnsi="Times New Roman" w:cs="Times New Roman"/>
      <w:b/>
      <w:bCs/>
      <w:sz w:val="20"/>
      <w:szCs w:val="20"/>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27823824">
      <w:bodyDiv w:val="1"/>
      <w:marLeft w:val="0"/>
      <w:marRight w:val="0"/>
      <w:marTop w:val="0"/>
      <w:marBottom w:val="0"/>
      <w:divBdr>
        <w:top w:val="none" w:sz="0" w:space="0" w:color="auto"/>
        <w:left w:val="none" w:sz="0" w:space="0" w:color="auto"/>
        <w:bottom w:val="none" w:sz="0" w:space="0" w:color="auto"/>
        <w:right w:val="none" w:sz="0" w:space="0" w:color="auto"/>
      </w:divBdr>
    </w:div>
    <w:div w:id="20572045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5804762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1405320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23184176">
      <w:bodyDiv w:val="1"/>
      <w:marLeft w:val="0"/>
      <w:marRight w:val="0"/>
      <w:marTop w:val="0"/>
      <w:marBottom w:val="0"/>
      <w:divBdr>
        <w:top w:val="none" w:sz="0" w:space="0" w:color="auto"/>
        <w:left w:val="none" w:sz="0" w:space="0" w:color="auto"/>
        <w:bottom w:val="none" w:sz="0" w:space="0" w:color="auto"/>
        <w:right w:val="none" w:sz="0" w:space="0" w:color="auto"/>
      </w:divBdr>
    </w:div>
    <w:div w:id="114007419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2930035">
      <w:bodyDiv w:val="1"/>
      <w:marLeft w:val="0"/>
      <w:marRight w:val="0"/>
      <w:marTop w:val="0"/>
      <w:marBottom w:val="0"/>
      <w:divBdr>
        <w:top w:val="none" w:sz="0" w:space="0" w:color="auto"/>
        <w:left w:val="none" w:sz="0" w:space="0" w:color="auto"/>
        <w:bottom w:val="none" w:sz="0" w:space="0" w:color="auto"/>
        <w:right w:val="none" w:sz="0" w:space="0" w:color="auto"/>
      </w:divBdr>
    </w:div>
    <w:div w:id="1602176177">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0695825">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01673129">
      <w:bodyDiv w:val="1"/>
      <w:marLeft w:val="0"/>
      <w:marRight w:val="0"/>
      <w:marTop w:val="0"/>
      <w:marBottom w:val="0"/>
      <w:divBdr>
        <w:top w:val="none" w:sz="0" w:space="0" w:color="auto"/>
        <w:left w:val="none" w:sz="0" w:space="0" w:color="auto"/>
        <w:bottom w:val="none" w:sz="0" w:space="0" w:color="auto"/>
        <w:right w:val="none" w:sz="0" w:space="0" w:color="auto"/>
      </w:divBdr>
    </w:div>
    <w:div w:id="1901862953">
      <w:bodyDiv w:val="1"/>
      <w:marLeft w:val="0"/>
      <w:marRight w:val="0"/>
      <w:marTop w:val="0"/>
      <w:marBottom w:val="0"/>
      <w:divBdr>
        <w:top w:val="none" w:sz="0" w:space="0" w:color="auto"/>
        <w:left w:val="none" w:sz="0" w:space="0" w:color="auto"/>
        <w:bottom w:val="none" w:sz="0" w:space="0" w:color="auto"/>
        <w:right w:val="none" w:sz="0" w:space="0" w:color="auto"/>
      </w:divBdr>
    </w:div>
    <w:div w:id="193011417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29482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17-04-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234577</Words>
  <Characters>1337093</Characters>
  <Application>Microsoft Office Word</Application>
  <DocSecurity>8</DocSecurity>
  <Lines>11142</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1568533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