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93A6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93A6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93A6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93A6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93A6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93A6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93A6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93A6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93A6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93A6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93A6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93A6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93A6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351C76C" w:rsidR="00B66AF3" w:rsidRDefault="00393A6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599358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90D22D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6AC5957" w14:textId="77777777" w:rsidR="00143F38" w:rsidRDefault="00143F3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CEC112F" w14:textId="77777777" w:rsidR="00143F38" w:rsidRDefault="00143F38"/>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BAAFB92" w14:textId="77777777" w:rsidR="00000000" w:rsidRDefault="00393A60">
            <w:pPr>
              <w:pStyle w:val="NormalWeb"/>
              <w:divId w:val="660279271"/>
            </w:pPr>
            <w:r>
              <w:t>4.2</w:t>
            </w:r>
          </w:p>
          <w:p w14:paraId="2981DA72" w14:textId="77777777" w:rsidR="00000000" w:rsidRDefault="00393A60">
            <w:pPr>
              <w:pStyle w:val="NormalWeb"/>
              <w:divId w:val="660279271"/>
            </w:pPr>
            <w:r>
              <w:t>By 2030, ensure that all girls and boys have access to quality early childhood development, care and pre-primary education so that they are ready for primary education</w:t>
            </w:r>
          </w:p>
          <w:p w14:paraId="75A6090C" w14:textId="77777777" w:rsidR="00143F38" w:rsidRDefault="00143F38"/>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6502956" w14:textId="77777777" w:rsidR="00000000" w:rsidRDefault="00393A60">
            <w:pPr>
              <w:pStyle w:val="NormalWeb"/>
              <w:divId w:val="2109033849"/>
            </w:pPr>
            <w:r>
              <w:t>4.2.2</w:t>
            </w:r>
          </w:p>
          <w:p w14:paraId="7C4EC97D" w14:textId="77777777" w:rsidR="00000000" w:rsidRDefault="00393A60">
            <w:pPr>
              <w:pStyle w:val="NormalWeb"/>
              <w:divId w:val="2109033849"/>
            </w:pPr>
            <w:r>
              <w:t>Participation rate in organized learning (one year before the official primary entry age), by sex</w:t>
            </w:r>
          </w:p>
          <w:p w14:paraId="7594CD59" w14:textId="77777777" w:rsidR="00143F38" w:rsidRDefault="00143F38"/>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896C2CB" w14:textId="77777777" w:rsidR="00143F38" w:rsidRDefault="00143F3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ABBE280" w14:textId="77777777" w:rsidR="00143F38" w:rsidRDefault="00143F38"/>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4ED32E7" w14:textId="77777777" w:rsidR="00143F38" w:rsidRDefault="00143F38"/>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FE0503" w14:textId="77777777" w:rsidR="00000000" w:rsidRDefault="00393A60">
            <w:pPr>
              <w:pStyle w:val="NormalWeb"/>
              <w:divId w:val="1791318801"/>
            </w:pPr>
            <w:r>
              <w:t xml:space="preserve">United Nations Education and Scientific Cultural </w:t>
            </w:r>
            <w:proofErr w:type="spellStart"/>
            <w:r>
              <w:t>Organisation</w:t>
            </w:r>
            <w:proofErr w:type="spellEnd"/>
            <w:r>
              <w:t xml:space="preserve"> - Institute of Statistics (UNESCO-UIS)</w:t>
            </w:r>
          </w:p>
          <w:p w14:paraId="2D1339A7" w14:textId="77777777" w:rsidR="00143F38" w:rsidRDefault="00143F38"/>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597955B" w14:textId="77777777" w:rsidR="00143F38" w:rsidRDefault="00143F38"/>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23AFD19" w14:textId="77777777" w:rsidR="00000000" w:rsidRDefault="00393A60">
            <w:pPr>
              <w:pStyle w:val="NormalWeb"/>
              <w:divId w:val="860433579"/>
            </w:pPr>
            <w:r>
              <w:t xml:space="preserve">Ministry of Education </w:t>
            </w:r>
          </w:p>
          <w:p w14:paraId="7C0C508A" w14:textId="77777777" w:rsidR="00143F38" w:rsidRDefault="00143F38"/>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F7AC1A1" w14:textId="77777777" w:rsidR="00143F38" w:rsidRDefault="00143F38"/>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363354D" w14:textId="77777777" w:rsidR="00143F38" w:rsidRDefault="00143F38"/>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0008F89" w14:textId="77777777" w:rsidR="00143F38" w:rsidRDefault="00143F38"/>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08F35F7" w14:textId="77777777" w:rsidR="00143F38" w:rsidRDefault="00143F38"/>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1160B3D" w14:textId="77777777" w:rsidR="00143F38" w:rsidRDefault="00143F38"/>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5B9FA14" w14:textId="77777777" w:rsidR="00143F38" w:rsidRDefault="00143F38"/>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ABB9FB7" w14:textId="77777777" w:rsidR="00143F38" w:rsidRDefault="00143F38"/>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C2FCA8" w14:textId="77777777" w:rsidR="00000000" w:rsidRDefault="00393A60">
            <w:pPr>
              <w:pStyle w:val="NormalWeb"/>
              <w:divId w:val="1256863447"/>
            </w:pPr>
            <w:r>
              <w:t xml:space="preserve">The participation rate in organized learning (one year before the official primary entry age), by sex as defined </w:t>
            </w:r>
            <w:r>
              <w:lastRenderedPageBreak/>
              <w:t xml:space="preserve">as the percentage of children in the given age range who participate in one or more organized learning </w:t>
            </w:r>
            <w:proofErr w:type="spellStart"/>
            <w:r>
              <w:t>programme</w:t>
            </w:r>
            <w:proofErr w:type="spellEnd"/>
            <w:r>
              <w:t xml:space="preserve">, including </w:t>
            </w:r>
            <w:proofErr w:type="spellStart"/>
            <w:r>
              <w:t>programmes</w:t>
            </w:r>
            <w:proofErr w:type="spellEnd"/>
            <w:r>
              <w:t xml:space="preserve"> which of</w:t>
            </w:r>
            <w:r>
              <w:t xml:space="preserve">fer a combination of education and care. Participation in early childhood and in primary education are both included. The age range will vary by country depending on the official age for entry to primary education. </w:t>
            </w:r>
          </w:p>
          <w:p w14:paraId="3963774C" w14:textId="77777777" w:rsidR="00000000" w:rsidRDefault="00393A60">
            <w:pPr>
              <w:pStyle w:val="NormalWeb"/>
              <w:divId w:val="1256863447"/>
            </w:pPr>
            <w:r>
              <w:rPr>
                <w:rStyle w:val="Strong"/>
              </w:rPr>
              <w:t>Rationale:</w:t>
            </w:r>
            <w:r>
              <w:t xml:space="preserve"> The indicator measures </w:t>
            </w:r>
            <w:proofErr w:type="spellStart"/>
            <w:r>
              <w:t>childr</w:t>
            </w:r>
            <w:r>
              <w:t>enâ</w:t>
            </w:r>
            <w:proofErr w:type="spellEnd"/>
            <w:r>
              <w:t>€™s exposure to organized learning activities in the year prior to the start of primary school. A high value of the indicator shows a high degree of participation in organized learning immediately before the official entrance age to primary education.</w:t>
            </w:r>
          </w:p>
          <w:p w14:paraId="37E47647" w14:textId="77777777" w:rsidR="00143F38" w:rsidRDefault="00143F38"/>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DF883E1" w14:textId="77777777" w:rsidR="00000000" w:rsidRDefault="00393A60">
            <w:pPr>
              <w:pStyle w:val="NormalWeb"/>
              <w:divId w:val="1385759735"/>
            </w:pPr>
            <w:r>
              <w:t>Percent (%)</w:t>
            </w:r>
          </w:p>
          <w:p w14:paraId="41E8572F" w14:textId="77777777" w:rsidR="00143F38" w:rsidRDefault="00143F38"/>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9657713" w14:textId="77777777" w:rsidR="00143F38" w:rsidRDefault="00143F38"/>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495D4F1" w14:textId="77777777" w:rsidR="00143F38" w:rsidRDefault="00143F38"/>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316EE80" w14:textId="77777777" w:rsidR="00143F38" w:rsidRDefault="00143F38"/>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1C8933F" w14:textId="77777777" w:rsidR="00143F38" w:rsidRDefault="00143F38"/>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7832CAD" w14:textId="77777777" w:rsidR="00000000" w:rsidRDefault="00393A60">
            <w:pPr>
              <w:pStyle w:val="NormalWeb"/>
              <w:divId w:val="1992562221"/>
            </w:pPr>
            <w:r>
              <w:t>Annual</w:t>
            </w:r>
          </w:p>
          <w:p w14:paraId="0E55BA73" w14:textId="77777777" w:rsidR="00143F38" w:rsidRDefault="00143F38"/>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9DE79D7" w14:textId="77777777" w:rsidR="00143F38" w:rsidRDefault="00143F38"/>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569B23D" w14:textId="77777777" w:rsidR="00000000" w:rsidRDefault="00393A60">
            <w:pPr>
              <w:pStyle w:val="NormalWeb"/>
              <w:divId w:val="921987641"/>
            </w:pPr>
            <w:r>
              <w:t>Rwanda Education Statistics/ Education Management Information System</w:t>
            </w:r>
          </w:p>
          <w:p w14:paraId="42E77A71" w14:textId="77777777" w:rsidR="00143F38" w:rsidRDefault="00143F38"/>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551284D" w14:textId="77777777" w:rsidR="00143F38" w:rsidRDefault="00143F38"/>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583F75A" w14:textId="77777777" w:rsidR="00143F38" w:rsidRDefault="00143F38"/>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2B50851" w14:textId="77777777" w:rsidR="00143F38" w:rsidRDefault="00143F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60CF659" w14:textId="77777777" w:rsidR="00143F38" w:rsidRDefault="00143F38"/>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A5395E4" w14:textId="77777777" w:rsidR="00143F38" w:rsidRDefault="00143F3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F5BBA0" w14:textId="77777777" w:rsidR="00000000" w:rsidRDefault="00393A60">
            <w:pPr>
              <w:pStyle w:val="NormalWeb"/>
              <w:divId w:val="1672023695"/>
            </w:pPr>
            <w:r>
              <w:t xml:space="preserve">The indicator can be calculated as the number of enrolments in organized learning </w:t>
            </w:r>
            <w:proofErr w:type="spellStart"/>
            <w:r>
              <w:t>programmes</w:t>
            </w:r>
            <w:proofErr w:type="spellEnd"/>
            <w:r>
              <w:t xml:space="preserve"> are reported by schools divided by the population in the age group one year below the official primary entry age.</w:t>
            </w:r>
          </w:p>
          <w:p w14:paraId="582BCF1B" w14:textId="77777777" w:rsidR="00143F38" w:rsidRDefault="00143F3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3B51175" w14:textId="77777777" w:rsidR="00143F38" w:rsidRDefault="00143F3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46B7664" w14:textId="77777777" w:rsidR="00143F38" w:rsidRDefault="00143F3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9A9BFB4" w14:textId="77777777" w:rsidR="00143F38" w:rsidRDefault="00143F38"/>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02C5373" w14:textId="77777777" w:rsidR="00143F38" w:rsidRDefault="00143F3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F8A54AC" w14:textId="77777777" w:rsidR="00143F38" w:rsidRDefault="00143F38"/>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8DF018F" w14:textId="77777777" w:rsidR="00143F38" w:rsidRDefault="00143F38"/>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E4B91D5" w14:textId="77777777" w:rsidR="00143F38" w:rsidRDefault="00143F38"/>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4266BC5" w14:textId="77777777" w:rsidR="00143F38" w:rsidRDefault="00143F38"/>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3F1F26B" w14:textId="77777777" w:rsidR="00000000" w:rsidRDefault="00393A60">
            <w:pPr>
              <w:pStyle w:val="Heading2"/>
              <w:divId w:val="709066171"/>
              <w:rPr>
                <w:rFonts w:eastAsia="Times New Roman"/>
                <w:sz w:val="36"/>
                <w:szCs w:val="36"/>
              </w:rPr>
            </w:pPr>
            <w:r>
              <w:rPr>
                <w:rFonts w:eastAsia="Times New Roman"/>
              </w:rPr>
              <w:t>Geographical coverage</w:t>
            </w:r>
          </w:p>
          <w:p w14:paraId="23EDF2B3" w14:textId="77777777" w:rsidR="00000000" w:rsidRDefault="00393A60">
            <w:pPr>
              <w:pStyle w:val="NormalWeb"/>
              <w:divId w:val="709066171"/>
            </w:pPr>
            <w:r>
              <w:t>National</w:t>
            </w:r>
          </w:p>
          <w:p w14:paraId="7A84925E" w14:textId="77777777" w:rsidR="00000000" w:rsidRDefault="00393A60">
            <w:pPr>
              <w:pStyle w:val="Heading2"/>
              <w:divId w:val="709066171"/>
              <w:rPr>
                <w:rFonts w:eastAsia="Times New Roman"/>
              </w:rPr>
            </w:pPr>
            <w:r>
              <w:rPr>
                <w:rFonts w:eastAsia="Times New Roman"/>
              </w:rPr>
              <w:t>Disaggregation</w:t>
            </w:r>
          </w:p>
          <w:p w14:paraId="4AF01C14" w14:textId="77777777" w:rsidR="00000000" w:rsidRDefault="00393A60">
            <w:pPr>
              <w:numPr>
                <w:ilvl w:val="0"/>
                <w:numId w:val="5"/>
              </w:numPr>
              <w:spacing w:before="100" w:beforeAutospacing="1" w:after="100" w:afterAutospacing="1" w:line="240" w:lineRule="auto"/>
              <w:divId w:val="709066171"/>
              <w:rPr>
                <w:rFonts w:eastAsia="Times New Roman"/>
              </w:rPr>
            </w:pPr>
            <w:r>
              <w:rPr>
                <w:rFonts w:eastAsia="Times New Roman"/>
              </w:rPr>
              <w:t>Sex</w:t>
            </w:r>
          </w:p>
          <w:p w14:paraId="787215E3" w14:textId="77777777" w:rsidR="00000000" w:rsidRDefault="00393A60">
            <w:pPr>
              <w:numPr>
                <w:ilvl w:val="0"/>
                <w:numId w:val="5"/>
              </w:numPr>
              <w:spacing w:before="100" w:beforeAutospacing="1" w:after="100" w:afterAutospacing="1" w:line="240" w:lineRule="auto"/>
              <w:divId w:val="709066171"/>
              <w:rPr>
                <w:rFonts w:eastAsia="Times New Roman"/>
              </w:rPr>
            </w:pPr>
            <w:r>
              <w:rPr>
                <w:rFonts w:eastAsia="Times New Roman"/>
              </w:rPr>
              <w:t>Type of establishment</w:t>
            </w:r>
          </w:p>
          <w:p w14:paraId="4BBE9183" w14:textId="77777777" w:rsidR="00143F38" w:rsidRDefault="00143F3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E17AE73" w14:textId="77777777" w:rsidR="00000000" w:rsidRDefault="00393A60">
            <w:pPr>
              <w:pStyle w:val="Heading2"/>
              <w:divId w:val="1759518834"/>
              <w:rPr>
                <w:rFonts w:eastAsia="Times New Roman"/>
                <w:sz w:val="36"/>
                <w:szCs w:val="36"/>
              </w:rPr>
            </w:pPr>
            <w:r>
              <w:rPr>
                <w:rFonts w:eastAsia="Times New Roman"/>
              </w:rPr>
              <w:t>Indicator available</w:t>
            </w:r>
          </w:p>
          <w:p w14:paraId="7D8C4937" w14:textId="77777777" w:rsidR="00000000" w:rsidRDefault="00393A60">
            <w:pPr>
              <w:pStyle w:val="NormalWeb"/>
              <w:divId w:val="1759518834"/>
            </w:pPr>
            <w:r>
              <w:t>Total Pre-nursery learners (percentage)</w:t>
            </w:r>
          </w:p>
          <w:p w14:paraId="09E1C236" w14:textId="77777777" w:rsidR="00000000" w:rsidRDefault="00393A60">
            <w:pPr>
              <w:pStyle w:val="Heading2"/>
              <w:divId w:val="1759518834"/>
              <w:rPr>
                <w:rFonts w:eastAsia="Times New Roman"/>
              </w:rPr>
            </w:pPr>
            <w:r>
              <w:rPr>
                <w:rFonts w:eastAsia="Times New Roman"/>
              </w:rPr>
              <w:t>Link to UN Metadata</w:t>
            </w:r>
          </w:p>
          <w:p w14:paraId="34E45594" w14:textId="77777777" w:rsidR="00000000" w:rsidRDefault="00393A60">
            <w:pPr>
              <w:pStyle w:val="NormalWeb"/>
              <w:divId w:val="1759518834"/>
            </w:pPr>
            <w:hyperlink r:id="rId19" w:tgtFrame="_blank" w:history="1">
              <w:r>
                <w:rPr>
                  <w:rStyle w:val="Hyperlink"/>
                </w:rPr>
                <w:t>United Nations Sustainable Development Goals Metadata (PDF 223 KB)</w:t>
              </w:r>
            </w:hyperlink>
          </w:p>
          <w:p w14:paraId="36B3DEF1" w14:textId="77777777" w:rsidR="00143F38" w:rsidRDefault="00143F38"/>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9F0BA4" w14:textId="77777777" w:rsidR="00000000" w:rsidRDefault="00393A60">
            <w:pPr>
              <w:pStyle w:val="Heading2"/>
              <w:divId w:val="763108603"/>
              <w:rPr>
                <w:rFonts w:eastAsia="Times New Roman"/>
                <w:sz w:val="36"/>
                <w:szCs w:val="36"/>
              </w:rPr>
            </w:pPr>
            <w:r>
              <w:rPr>
                <w:rFonts w:eastAsia="Times New Roman"/>
              </w:rPr>
              <w:t>UN designated tier</w:t>
            </w:r>
          </w:p>
          <w:p w14:paraId="198E6993" w14:textId="77777777" w:rsidR="00000000" w:rsidRDefault="00393A60">
            <w:pPr>
              <w:pStyle w:val="NormalWeb"/>
              <w:divId w:val="763108603"/>
            </w:pPr>
            <w:r>
              <w:t>1</w:t>
            </w:r>
          </w:p>
          <w:p w14:paraId="0774DB76" w14:textId="77777777" w:rsidR="00143F38" w:rsidRDefault="00143F38"/>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012E77"/>
    <w:multiLevelType w:val="multilevel"/>
    <w:tmpl w:val="995AA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3F38"/>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3A60"/>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60279271">
      <w:bodyDiv w:val="1"/>
      <w:marLeft w:val="0"/>
      <w:marRight w:val="0"/>
      <w:marTop w:val="0"/>
      <w:marBottom w:val="0"/>
      <w:divBdr>
        <w:top w:val="none" w:sz="0" w:space="0" w:color="auto"/>
        <w:left w:val="none" w:sz="0" w:space="0" w:color="auto"/>
        <w:bottom w:val="none" w:sz="0" w:space="0" w:color="auto"/>
        <w:right w:val="none" w:sz="0" w:space="0" w:color="auto"/>
      </w:divBdr>
    </w:div>
    <w:div w:id="70906617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3108603">
      <w:bodyDiv w:val="1"/>
      <w:marLeft w:val="0"/>
      <w:marRight w:val="0"/>
      <w:marTop w:val="0"/>
      <w:marBottom w:val="0"/>
      <w:divBdr>
        <w:top w:val="none" w:sz="0" w:space="0" w:color="auto"/>
        <w:left w:val="none" w:sz="0" w:space="0" w:color="auto"/>
        <w:bottom w:val="none" w:sz="0" w:space="0" w:color="auto"/>
        <w:right w:val="none" w:sz="0" w:space="0" w:color="auto"/>
      </w:divBdr>
    </w:div>
    <w:div w:id="860433579">
      <w:bodyDiv w:val="1"/>
      <w:marLeft w:val="0"/>
      <w:marRight w:val="0"/>
      <w:marTop w:val="0"/>
      <w:marBottom w:val="0"/>
      <w:divBdr>
        <w:top w:val="none" w:sz="0" w:space="0" w:color="auto"/>
        <w:left w:val="none" w:sz="0" w:space="0" w:color="auto"/>
        <w:bottom w:val="none" w:sz="0" w:space="0" w:color="auto"/>
        <w:right w:val="none" w:sz="0" w:space="0" w:color="auto"/>
      </w:divBdr>
    </w:div>
    <w:div w:id="92198764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686344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575973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202369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59518834">
      <w:bodyDiv w:val="1"/>
      <w:marLeft w:val="0"/>
      <w:marRight w:val="0"/>
      <w:marTop w:val="0"/>
      <w:marBottom w:val="0"/>
      <w:divBdr>
        <w:top w:val="none" w:sz="0" w:space="0" w:color="auto"/>
        <w:left w:val="none" w:sz="0" w:space="0" w:color="auto"/>
        <w:bottom w:val="none" w:sz="0" w:space="0" w:color="auto"/>
        <w:right w:val="none" w:sz="0" w:space="0" w:color="auto"/>
      </w:divBdr>
    </w:div>
    <w:div w:id="179131880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2562221">
      <w:bodyDiv w:val="1"/>
      <w:marLeft w:val="0"/>
      <w:marRight w:val="0"/>
      <w:marTop w:val="0"/>
      <w:marBottom w:val="0"/>
      <w:divBdr>
        <w:top w:val="none" w:sz="0" w:space="0" w:color="auto"/>
        <w:left w:val="none" w:sz="0" w:space="0" w:color="auto"/>
        <w:bottom w:val="none" w:sz="0" w:space="0" w:color="auto"/>
        <w:right w:val="none" w:sz="0" w:space="0" w:color="auto"/>
      </w:divBdr>
    </w:div>
    <w:div w:id="21090338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4-02-02.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234486</Words>
  <Characters>1336575</Characters>
  <Application>Microsoft Office Word</Application>
  <DocSecurity>8</DocSecurity>
  <Lines>11138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