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374BC3C6" w:rsidR="000C6D3A" w:rsidRDefault="000C6D3A" w:rsidP="000C6D3A">
      <w:pPr>
        <w:pStyle w:val="Subtitle"/>
        <w:jc w:val="center"/>
      </w:pPr>
      <w:r w:rsidRPr="000C6D3A">
        <w:t>Word Version</w:t>
      </w:r>
      <w:r w:rsidR="00151B76">
        <w:t xml:space="preserve"> </w:t>
      </w:r>
      <w:r w:rsidR="00355460">
        <w:t>2.</w:t>
      </w:r>
      <w:r w:rsidR="008E4D2D">
        <w:t>3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A242D8">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A242D8">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A242D8">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A242D8">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A242D8">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A242D8">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A242D8">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A242D8">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A242D8">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A242D8">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A242D8">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A242D8">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A242D8">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showingPlcHdr/>
        <w:dropDownList>
          <w:listItem w:displayText="Global" w:value="G"/>
          <w:listItem w:displayText="National" w:value="N"/>
          <w:listItem w:displayText="Regional" w:value="R"/>
        </w:dropDownList>
      </w:sdtPr>
      <w:sdtEndPr/>
      <w:sdtContent>
        <w:p w14:paraId="16677E55" w14:textId="77777777" w:rsidR="00355460" w:rsidRPr="00E263EC" w:rsidRDefault="00355460" w:rsidP="00355460">
          <w:r w:rsidRPr="00E263EC">
            <w:rPr>
              <w:rStyle w:val="PlaceholderText"/>
            </w:rPr>
            <w:t>Choose an item.</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77777777" w:rsidR="0077584C" w:rsidRDefault="0077584C" w:rsidP="0077584C">
          <w:r w:rsidRPr="00D2076D">
            <w:rPr>
              <w:rStyle w:val="PlaceholderText"/>
            </w:rPr>
            <w:t>Choose an item.</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7777777" w:rsidR="0077584C" w:rsidRDefault="0077584C" w:rsidP="0077584C">
          <w:r w:rsidRPr="00D2076D">
            <w:rPr>
              <w:rStyle w:val="PlaceholderText"/>
            </w:rPr>
            <w:t>Choose an item.</w:t>
          </w:r>
        </w:p>
      </w:sdtContent>
    </w:sdt>
    <w:p w14:paraId="69911511" w14:textId="77777777" w:rsidR="00B8102F" w:rsidRDefault="00B8102F" w:rsidP="00355460"/>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3700A1" w:rsidRDefault="005377B9" w:rsidP="0051738B">
            <w:pPr>
              <w:pStyle w:val="MGTHeader"/>
              <w:rPr>
                <w:rFonts w:cstheme="minorHAnsi"/>
              </w:rPr>
            </w:pP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7777777" w:rsidR="005377B9" w:rsidRPr="003700A1" w:rsidRDefault="005377B9" w:rsidP="0051738B">
            <w:pPr>
              <w:pStyle w:val="MGTHeader"/>
              <w:rPr>
                <w:rFonts w:cstheme="minorHAnsi"/>
              </w:rPr>
            </w:pP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7777777" w:rsidR="005377B9" w:rsidRPr="003700A1" w:rsidRDefault="005377B9" w:rsidP="0051738B">
            <w:pPr>
              <w:pStyle w:val="MGTHeader"/>
              <w:rPr>
                <w:rFonts w:cstheme="minorHAnsi"/>
              </w:rPr>
            </w:pP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7777777" w:rsidR="005377B9" w:rsidRPr="00211876" w:rsidRDefault="005377B9" w:rsidP="0051738B">
            <w:pPr>
              <w:pStyle w:val="Heading2"/>
              <w:shd w:val="clear" w:color="auto" w:fill="F5F5F5"/>
              <w:spacing w:before="0"/>
              <w:rPr>
                <w:rFonts w:asciiTheme="minorHAnsi" w:hAnsiTheme="minorHAnsi"/>
                <w:color w:val="1C75BC"/>
                <w:sz w:val="24"/>
                <w:szCs w:val="24"/>
              </w:rPr>
            </w:pP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4D68B6" w:rsidRDefault="005377B9" w:rsidP="0051738B">
            <w:pPr>
              <w:spacing w:after="0" w:line="240" w:lineRule="auto"/>
              <w:rPr>
                <w:rFonts w:ascii="Calibri" w:eastAsia="Times New Roman" w:hAnsi="Calibri" w:cs="Calibri"/>
                <w:color w:val="000000"/>
              </w:rPr>
            </w:pP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3700A1" w:rsidRDefault="005377B9" w:rsidP="0051738B">
            <w:pPr>
              <w:pStyle w:val="Header"/>
              <w:rPr>
                <w:color w:val="7F7F7F" w:themeColor="text1" w:themeTint="80"/>
                <w:sz w:val="18"/>
                <w:szCs w:val="18"/>
              </w:rPr>
            </w:pP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F179C" w:rsidRDefault="005377B9" w:rsidP="0051738B">
            <w:pPr>
              <w:spacing w:after="0"/>
              <w:rPr>
                <w:rFonts w:cstheme="minorHAnsi"/>
              </w:rPr>
            </w:pP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77777777" w:rsidR="005377B9" w:rsidRPr="002E4E48" w:rsidRDefault="005377B9" w:rsidP="0051738B">
            <w:pPr>
              <w:pStyle w:val="Default"/>
              <w:rPr>
                <w:rFonts w:asciiTheme="minorHAnsi" w:hAnsiTheme="minorHAnsi" w:cstheme="minorHAnsi"/>
                <w:sz w:val="21"/>
                <w:szCs w:val="21"/>
              </w:rPr>
            </w:pP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4D68B6" w:rsidRDefault="003E7389" w:rsidP="00057BB3">
            <w:pPr>
              <w:spacing w:after="0" w:line="240" w:lineRule="auto"/>
              <w:rPr>
                <w:rFonts w:ascii="Calibri" w:eastAsia="Times New Roman" w:hAnsi="Calibri" w:cs="Calibri"/>
                <w:color w:val="000000"/>
              </w:rPr>
            </w:pP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4D68B6" w:rsidRDefault="003E7389" w:rsidP="00057BB3">
            <w:pPr>
              <w:spacing w:after="0" w:line="240" w:lineRule="auto"/>
              <w:rPr>
                <w:rFonts w:ascii="Calibri" w:eastAsia="Times New Roman" w:hAnsi="Calibri" w:cs="Calibri"/>
                <w:color w:val="000000"/>
              </w:rPr>
            </w:pP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lastRenderedPageBreak/>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B6605A" w:rsidRDefault="0015178E" w:rsidP="00057BB3">
            <w:pPr>
              <w:pStyle w:val="Default"/>
              <w:rPr>
                <w:rFonts w:asciiTheme="minorHAnsi" w:hAnsiTheme="minorHAnsi" w:cstheme="minorHAnsi"/>
                <w:sz w:val="21"/>
                <w:szCs w:val="21"/>
              </w:rPr>
            </w:pP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77777777" w:rsidR="0015178E" w:rsidRPr="00B6605A" w:rsidRDefault="0015178E" w:rsidP="00057BB3">
            <w:pPr>
              <w:pStyle w:val="Default"/>
              <w:rPr>
                <w:rFonts w:asciiTheme="minorHAnsi" w:hAnsiTheme="minorHAnsi" w:cstheme="minorHAnsi"/>
                <w:sz w:val="21"/>
                <w:szCs w:val="21"/>
              </w:rPr>
            </w:pP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4D68B6" w:rsidRDefault="0015178E" w:rsidP="00057BB3">
            <w:pPr>
              <w:spacing w:after="0" w:line="240" w:lineRule="auto"/>
              <w:rPr>
                <w:rFonts w:ascii="Calibri" w:eastAsia="Times New Roman" w:hAnsi="Calibri" w:cs="Calibri"/>
                <w:color w:val="000000"/>
              </w:rPr>
            </w:pP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4D68B6" w:rsidRDefault="0015178E" w:rsidP="00057BB3">
            <w:pPr>
              <w:spacing w:after="0" w:line="240" w:lineRule="auto"/>
              <w:rPr>
                <w:rFonts w:ascii="Calibri" w:eastAsia="Times New Roman" w:hAnsi="Calibri" w:cs="Calibri"/>
                <w:color w:val="000000"/>
              </w:rPr>
            </w:pP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C22F94" w:rsidRDefault="0035311B" w:rsidP="0051738B">
            <w:pPr>
              <w:pStyle w:val="Default"/>
              <w:rPr>
                <w:rFonts w:asciiTheme="minorHAnsi" w:hAnsiTheme="minorHAnsi" w:cstheme="minorHAnsi"/>
                <w:sz w:val="21"/>
                <w:szCs w:val="21"/>
              </w:rPr>
            </w:pP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7777777" w:rsidR="0035311B" w:rsidRPr="00C22F94" w:rsidRDefault="0035311B" w:rsidP="0051738B">
            <w:pPr>
              <w:pStyle w:val="Default"/>
              <w:rPr>
                <w:rFonts w:asciiTheme="minorHAnsi" w:hAnsiTheme="minorHAnsi" w:cstheme="minorHAnsi"/>
                <w:sz w:val="21"/>
                <w:szCs w:val="21"/>
              </w:rPr>
            </w:pP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240AFC" w:rsidRDefault="0035311B" w:rsidP="0051738B">
            <w:pPr>
              <w:pStyle w:val="Default"/>
              <w:rPr>
                <w:rFonts w:asciiTheme="minorHAnsi" w:hAnsiTheme="minorHAnsi" w:cstheme="minorHAnsi"/>
                <w:sz w:val="21"/>
                <w:szCs w:val="21"/>
              </w:rPr>
            </w:pP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77777777" w:rsidR="0035311B" w:rsidRPr="003525CD" w:rsidRDefault="0035311B" w:rsidP="0051738B">
            <w:pPr>
              <w:pStyle w:val="Default"/>
              <w:rPr>
                <w:rFonts w:asciiTheme="minorHAnsi" w:hAnsiTheme="minorHAnsi" w:cstheme="minorHAnsi"/>
                <w:sz w:val="21"/>
                <w:szCs w:val="21"/>
              </w:rPr>
            </w:pP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3525CD" w:rsidRDefault="0035311B" w:rsidP="0051738B">
            <w:pPr>
              <w:pStyle w:val="Default"/>
              <w:rPr>
                <w:rFonts w:asciiTheme="minorHAnsi" w:hAnsiTheme="minorHAnsi" w:cstheme="minorHAnsi"/>
                <w:sz w:val="21"/>
                <w:szCs w:val="21"/>
              </w:rPr>
            </w:pP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4D68B6" w:rsidRDefault="0035311B" w:rsidP="0051738B">
            <w:pPr>
              <w:spacing w:after="0" w:line="240" w:lineRule="auto"/>
              <w:rPr>
                <w:rFonts w:ascii="Calibri" w:eastAsia="Times New Roman" w:hAnsi="Calibri" w:cs="Calibri"/>
                <w:color w:val="000000"/>
              </w:rPr>
            </w:pP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B6605A" w:rsidRDefault="007F2D9F" w:rsidP="00057BB3">
            <w:pPr>
              <w:pStyle w:val="Default"/>
              <w:rPr>
                <w:rFonts w:asciiTheme="minorHAnsi" w:hAnsiTheme="minorHAnsi" w:cstheme="minorHAnsi"/>
                <w:sz w:val="21"/>
                <w:szCs w:val="21"/>
              </w:rPr>
            </w:pP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B6605A" w:rsidRDefault="007F2D9F" w:rsidP="00057BB3">
            <w:pPr>
              <w:pStyle w:val="Default"/>
              <w:rPr>
                <w:rFonts w:asciiTheme="minorHAnsi" w:hAnsiTheme="minorHAnsi" w:cstheme="minorHAnsi"/>
                <w:sz w:val="21"/>
                <w:szCs w:val="21"/>
              </w:rPr>
            </w:pP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334DB3" w:rsidRDefault="007F2D9F" w:rsidP="00057BB3">
            <w:pPr>
              <w:pStyle w:val="Default"/>
              <w:rPr>
                <w:rFonts w:asciiTheme="minorHAnsi" w:hAnsiTheme="minorHAnsi" w:cstheme="minorHAnsi"/>
                <w:sz w:val="21"/>
                <w:szCs w:val="21"/>
              </w:rPr>
            </w:pP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77777777" w:rsidR="007F2D9F" w:rsidRPr="004073A7" w:rsidRDefault="007F2D9F" w:rsidP="00057BB3">
            <w:pPr>
              <w:pStyle w:val="Default"/>
              <w:rPr>
                <w:rFonts w:asciiTheme="minorHAnsi" w:hAnsiTheme="minorHAnsi" w:cstheme="minorHAnsi"/>
                <w:sz w:val="21"/>
                <w:szCs w:val="21"/>
              </w:rPr>
            </w:pP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4F23B5" w:rsidRDefault="007F2D9F" w:rsidP="00057BB3">
            <w:pPr>
              <w:pStyle w:val="Default"/>
              <w:rPr>
                <w:rFonts w:asciiTheme="minorHAnsi" w:hAnsiTheme="minorHAnsi" w:cstheme="minorHAnsi"/>
                <w:sz w:val="21"/>
                <w:szCs w:val="21"/>
              </w:rPr>
            </w:pP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E07A4C" w:rsidRDefault="007F2D9F" w:rsidP="00057BB3">
            <w:pPr>
              <w:pStyle w:val="Default"/>
              <w:rPr>
                <w:rFonts w:asciiTheme="minorHAnsi" w:hAnsiTheme="minorHAnsi" w:cstheme="minorHAnsi"/>
                <w:sz w:val="21"/>
                <w:szCs w:val="21"/>
              </w:rPr>
            </w:pP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F07E48" w:rsidRDefault="007F2D9F" w:rsidP="00057BB3">
            <w:pPr>
              <w:pStyle w:val="Default"/>
              <w:rPr>
                <w:rFonts w:asciiTheme="minorHAnsi" w:hAnsiTheme="minorHAnsi" w:cstheme="minorHAnsi"/>
                <w:sz w:val="21"/>
                <w:szCs w:val="21"/>
              </w:rPr>
            </w:pP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C22F94" w:rsidRDefault="007F2D9F" w:rsidP="00057BB3">
            <w:pPr>
              <w:pStyle w:val="Default"/>
              <w:rPr>
                <w:rFonts w:asciiTheme="minorHAnsi" w:hAnsiTheme="minorHAnsi" w:cstheme="minorHAnsi"/>
                <w:sz w:val="21"/>
                <w:szCs w:val="21"/>
              </w:rPr>
            </w:pP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4D68B6" w:rsidRDefault="007F2D9F" w:rsidP="00057BB3">
            <w:pPr>
              <w:spacing w:after="0" w:line="240" w:lineRule="auto"/>
              <w:rPr>
                <w:rFonts w:ascii="Calibri" w:eastAsia="Times New Roman" w:hAnsi="Calibri" w:cs="Calibri"/>
                <w:color w:val="000000"/>
              </w:rPr>
            </w:pP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4D68B6" w:rsidRDefault="007F2D9F" w:rsidP="00057BB3">
            <w:pPr>
              <w:spacing w:after="0" w:line="240" w:lineRule="auto"/>
              <w:rPr>
                <w:rFonts w:ascii="Calibri" w:eastAsia="Times New Roman" w:hAnsi="Calibri" w:cs="Calibri"/>
                <w:color w:val="000000"/>
              </w:rPr>
            </w:pP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lastRenderedPageBreak/>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7777777" w:rsidR="00776312" w:rsidRPr="005D1328" w:rsidRDefault="00776312" w:rsidP="00057BB3">
            <w:pPr>
              <w:pStyle w:val="Default"/>
              <w:rPr>
                <w:rFonts w:asciiTheme="minorHAnsi" w:hAnsiTheme="minorHAnsi" w:cstheme="minorHAnsi"/>
                <w:sz w:val="21"/>
                <w:szCs w:val="21"/>
              </w:rPr>
            </w:pP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EA6E73"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lastRenderedPageBreak/>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 xml:space="preserve">Explanation of how the indicator is calculated, including mathematical formulas and descriptive information of computations made on the source data to produce the indicator </w:t>
      </w:r>
      <w:r w:rsidR="0009691A" w:rsidRPr="004962C5">
        <w:rPr>
          <w:sz w:val="22"/>
          <w:szCs w:val="22"/>
        </w:rPr>
        <w:lastRenderedPageBreak/>
        <w:t>(including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lastRenderedPageBreak/>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bookmarkStart w:id="46" w:name="_GoBack"/>
            <w:bookmarkEnd w:id="46"/>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r>
            <w:r w:rsidRPr="005B293A">
              <w:rPr>
                <w:rFonts w:ascii="Calibri" w:eastAsia="Times New Roman" w:hAnsi="Calibri" w:cs="Calibri"/>
                <w:color w:val="000000"/>
              </w:rPr>
              <w:lastRenderedPageBreak/>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lastRenderedPageBreak/>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303DF" w14:textId="77777777" w:rsidR="00A242D8" w:rsidRDefault="00A242D8" w:rsidP="006B0512">
      <w:pPr>
        <w:spacing w:after="0" w:line="240" w:lineRule="auto"/>
      </w:pPr>
      <w:r>
        <w:separator/>
      </w:r>
    </w:p>
  </w:endnote>
  <w:endnote w:type="continuationSeparator" w:id="0">
    <w:p w14:paraId="4D22C7E0" w14:textId="77777777" w:rsidR="00A242D8" w:rsidRDefault="00A242D8"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DA69E7">
          <w:rPr>
            <w:noProof/>
          </w:rPr>
          <w:t>4</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DA69E7">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9475D" w14:textId="77777777" w:rsidR="00A242D8" w:rsidRDefault="00A242D8" w:rsidP="006B0512">
      <w:pPr>
        <w:spacing w:after="0" w:line="240" w:lineRule="auto"/>
      </w:pPr>
      <w:r>
        <w:separator/>
      </w:r>
    </w:p>
  </w:footnote>
  <w:footnote w:type="continuationSeparator" w:id="0">
    <w:p w14:paraId="454E77E3" w14:textId="77777777" w:rsidR="00A242D8" w:rsidRDefault="00A242D8"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A053A9CD-25AA-4337-96FF-ED4C26BF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4B32-A3F9-4347-892B-F86594CE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Fanning, Stephen B (JMD)</cp:lastModifiedBy>
  <cp:revision>2</cp:revision>
  <cp:lastPrinted>2020-04-16T14:23:00Z</cp:lastPrinted>
  <dcterms:created xsi:type="dcterms:W3CDTF">2020-05-15T19:59:00Z</dcterms:created>
  <dcterms:modified xsi:type="dcterms:W3CDTF">2020-05-15T19:59:00Z</dcterms:modified>
</cp:coreProperties>
</file>